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48d1fe4dcd48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5127</w:t>
      </w:r>
    </w:p>
    <w:p>
      <w:pPr>
        <w:jc w:val="center"/>
        <w:spacing w:before="480" w:after="0" w:line="240"/>
      </w:pPr>
      <w:r>
        <w:t xml:space="preserve">Chapter </w:t>
      </w:r>
      <w:r>
        <w:rPr/>
        <w:t xml:space="preserve">182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STUDENT PERSONAL INFORMATION—PUBLIC RECORDS ACT EXEMPTION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27</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3:43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5127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C. Wilson, Lovelett, Hasegawa, Hunt, Kuderer, Nobles, Saldaña, Stanford, Van De Wege, and Wellman)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school districts' ability to redact personal information related to a student in any record maintained by the school district; amending RCW 42.56.230;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public interest in maintaining an open and transparent government and the critically important role that our public records act plays in ensuring the people of Washington have access to public records maintained by state and local agencies with narrow exemptions. The legislature recognizes that protecting the personal information of our minor students is also of critical importance, especially when disclosure of that personal information could potentially jeopardize the physical or mental health and safety of a student. While current state law also acknowledges the importance of protecting a student's privacy by providing an exemption for personal information in records maintained on a student's behalf, the legislature notes that there have been instances where information has been released from records held by schools that contains personal information about a student or related to a student and the release allows the student to be identified. The legislature intends to provide additional clarity in this narrow situation involving the disclosure of personal information related to a student that may be found in a nonstudent record. This clarity is intended to ensure school districts understand that they have the ability to protect a student's privacy and redact personal information related to a student regardless of the type of record that the information is found 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w:t>
      </w:r>
      <w:r>
        <w:rPr>
          <w:u w:val="single"/>
        </w:rPr>
        <w:t xml:space="preserve">For a student enrolled or previously enrolled in a local education agency, in any records pertaining to the student, including correspondence;</w:t>
      </w:r>
    </w:p>
    <w:p>
      <w:pPr>
        <w:spacing w:before="0" w:after="0" w:line="408" w:lineRule="exact"/>
        <w:ind w:left="0" w:right="0" w:firstLine="576"/>
        <w:jc w:val="left"/>
      </w:pPr>
      <w:r>
        <w:rPr>
          <w:u w:val="single"/>
        </w:rPr>
        <w:t xml:space="preserve">(iv)</w:t>
      </w:r>
      <w:r>
        <w:rPr/>
        <w:t xml:space="preserve">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w:t>
      </w:r>
      <w:r>
        <w:t>((</w:t>
      </w:r>
      <w:r>
        <w:rPr>
          <w:strike/>
        </w:rPr>
        <w:t xml:space="preserve">and (ii)</w:t>
      </w:r>
      <w:r>
        <w:t>))</w:t>
      </w:r>
      <w:r>
        <w:rPr/>
        <w:t xml:space="preserve"> </w:t>
      </w:r>
      <w:r>
        <w:rPr>
          <w:u w:val="single"/>
        </w:rPr>
        <w:t xml:space="preserve">through (iii)</w:t>
      </w:r>
      <w:r>
        <w:rPr/>
        <w:t xml:space="preserve"> of this subsection; or</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w:t>
      </w:r>
      <w:r>
        <w:t>((</w:t>
      </w:r>
      <w:r>
        <w:rPr>
          <w:strike/>
        </w:rPr>
        <w:t xml:space="preserve">enhanced</w:t>
      </w:r>
      <w:r>
        <w:t>))</w:t>
      </w:r>
      <w:r>
        <w:rPr/>
        <w:t xml:space="preserve">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w:t>
      </w:r>
      <w:r>
        <w:rPr>
          <w:u w:val="single"/>
        </w:rPr>
        <w:t xml:space="preserve">former</w:t>
      </w:r>
      <w:r>
        <w:rPr/>
        <w:t xml:space="preserve"> RCW 43.43.920.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dc6fdae0b04a431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0c96203695453d" /><Relationship Type="http://schemas.openxmlformats.org/officeDocument/2006/relationships/footer" Target="/word/footer1.xml" Id="Rdc6fdae0b04a4315" /></Relationships>
</file>