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b55cd37644474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5082</w:t>
      </w:r>
    </w:p>
    <w:p>
      <w:pPr>
        <w:jc w:val="center"/>
        <w:spacing w:before="480" w:after="0" w:line="240"/>
      </w:pPr>
      <w:r>
        <w:t xml:space="preserve">Chapter </w:t>
      </w:r>
      <w:r>
        <w:rPr/>
        <w:t xml:space="preserve">109</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ADVISORY VOTES—REPEAL</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2023</w:t>
            </w:r>
          </w:p>
          <w:p>
            <w:pPr>
              <w:ind w:left="0" w:right="0" w:firstLine="360"/>
            </w:pPr>
            <w:r>
              <w:t xml:space="preserve">Yeas </w:t>
              <w:t xml:space="preserve">30</w:t>
            </w:r>
            <w:r>
              <w:t xml:space="preserve">  Nays </w:t>
              <w:t xml:space="preserve">18</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2023</w:t>
            </w:r>
          </w:p>
          <w:p>
            <w:pPr>
              <w:ind w:left="0" w:right="0" w:firstLine="360"/>
            </w:pPr>
            <w:r>
              <w:t xml:space="preserve">Yeas </w:t>
              <w:t xml:space="preserve">54</w:t>
            </w:r>
            <w:r>
              <w:t xml:space="preserve">  Nays </w:t>
              <w:t xml:space="preserve">43</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5082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20, 2023 9:59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21,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5082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State Government &amp; Elections (originally sponsored by Senators Kuderer, Hunt, Conway, Dhingra, Frame, Hasegawa, Nguyen, Nobles, Pedersen, Rolfes, Valdez, Van De Wege, Wellman, and C. Wilson)</w:t>
      </w:r>
    </w:p>
    <w:p/>
    <w:p>
      <w:r>
        <w:rPr>
          <w:t xml:space="preserve">READ FIRST TIME 01/16/23.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electoral participation and making ballots more meaningful by abolishing advisory votes; amending RCW 29A.32.070, 29A.64.090, 29A.72.040, 29A.72.250, 29A.72.290, and 29A.32.031; adding a new section to chapter 44.48 RCW; creating a new section; and repealing RCW 29A.72.283, 29A.72.285, and 43.135.041.</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STATEMENT OF LEGISLATIVE 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making the act of casting a ballot as simple as possible will help promote the free and equal elections guaranteed by Article I, section 19 and Article VI, section 1 of the Washington state Constitution. The legislature recognizes that transparency and fiscal responsibility are important to the people of Washington, and that election administration and ballot design should reflect these long-held values. The legislature further finds that the people rightfully expect items on their ballots to be neutrally and accurately worded. Finally, the legislature finds for the votes that Washingtonians cast to have meaning, the ballot must be limited to candidate elections that give the people the power to choose their representatives or ballot measures that determine what laws and plan of government the state and its localities shall have.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REPEAL OF ADVISORY VOTES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2016 c 83 s 1 are each amended to read as follows:</w:t>
      </w:r>
    </w:p>
    <w:p>
      <w:pPr>
        <w:spacing w:before="0" w:after="0" w:line="408" w:lineRule="exact"/>
        <w:ind w:left="0" w:right="0" w:firstLine="576"/>
        <w:jc w:val="left"/>
      </w:pPr>
      <w:r>
        <w:rPr/>
        <w:t xml:space="preserve">The secretary of state shall determine the format and layout of the voters' pamphlet published under RCW 29A.32.010. The secretary of state shall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t xml:space="preserve">The secretary of state's name may not appear in the voters' pamphlet in his or her official capacity if the secretary is a candidate for office during the same year. His or her name may only be included as part of the information normally included for candidates.</w:t>
      </w:r>
    </w:p>
    <w:p>
      <w:pPr>
        <w:spacing w:before="0" w:after="0" w:line="408" w:lineRule="exact"/>
        <w:ind w:left="0" w:right="0" w:firstLine="576"/>
        <w:jc w:val="left"/>
      </w:pPr>
      <w:r>
        <w:rPr/>
        <w:t xml:space="preserve">The voters' pamphlet must provide the following information for each statewide issue on the ballot </w:t>
      </w:r>
      <w:r>
        <w:t>((</w:t>
      </w:r>
      <w:r>
        <w:rPr>
          <w:strike/>
        </w:rPr>
        <w:t xml:space="preserve">except measures for an advisory vote of the people whose requirements are provided in subsection (11) of this section</w:t>
      </w:r>
      <w:r>
        <w:t>))</w:t>
      </w:r>
      <w:r>
        <w:rPr/>
        <w:t xml:space="preserve">:</w:t>
      </w:r>
    </w:p>
    <w:p>
      <w:pPr>
        <w:spacing w:before="0" w:after="0" w:line="408" w:lineRule="exact"/>
        <w:ind w:left="0" w:right="0" w:firstLine="576"/>
        <w:jc w:val="left"/>
      </w:pPr>
      <w:r>
        <w:rPr/>
        <w:t xml:space="preserve">(1) The legal identification of the measure by serial designation or number;</w:t>
      </w:r>
    </w:p>
    <w:p>
      <w:pPr>
        <w:spacing w:before="0" w:after="0" w:line="408" w:lineRule="exact"/>
        <w:ind w:left="0" w:right="0" w:firstLine="576"/>
        <w:jc w:val="left"/>
      </w:pPr>
      <w:r>
        <w:rPr/>
        <w:t xml:space="preserve">(2) The official ballot title of the measure;</w:t>
      </w:r>
    </w:p>
    <w:p>
      <w:pPr>
        <w:spacing w:before="0" w:after="0" w:line="408" w:lineRule="exact"/>
        <w:ind w:left="0" w:right="0" w:firstLine="576"/>
        <w:jc w:val="left"/>
      </w:pPr>
      <w:r>
        <w:rPr/>
        <w:t xml:space="preserve">(3) A statement prepared by the attorney general explaining the law as it presently exists;</w:t>
      </w:r>
    </w:p>
    <w:p>
      <w:pPr>
        <w:spacing w:before="0" w:after="0" w:line="408" w:lineRule="exact"/>
        <w:ind w:left="0" w:right="0" w:firstLine="576"/>
        <w:jc w:val="left"/>
      </w:pPr>
      <w:r>
        <w:rPr/>
        <w:t xml:space="preserve">(4) A statement prepared by the attorney general explaining the effect of the proposed measure if it becomes law;</w:t>
      </w:r>
    </w:p>
    <w:p>
      <w:pPr>
        <w:spacing w:before="0" w:after="0" w:line="408" w:lineRule="exact"/>
        <w:ind w:left="0" w:right="0" w:firstLine="576"/>
        <w:jc w:val="left"/>
      </w:pPr>
      <w:r>
        <w:rPr/>
        <w:t xml:space="preserve">(5) The fiscal impact statement prepared under RCW 29A.72.025;</w:t>
      </w:r>
    </w:p>
    <w:p>
      <w:pPr>
        <w:spacing w:before="0" w:after="0" w:line="408" w:lineRule="exact"/>
        <w:ind w:left="0" w:right="0" w:firstLine="576"/>
        <w:jc w:val="left"/>
      </w:pPr>
      <w:r>
        <w:rPr/>
        <w:t xml:space="preserve">(6) The total number of votes cast for and against the measure in the senate and house of representatives, if the measure has been passed by the legislature;</w:t>
      </w:r>
    </w:p>
    <w:p>
      <w:pPr>
        <w:spacing w:before="0" w:after="0" w:line="408" w:lineRule="exact"/>
        <w:ind w:left="0" w:right="0" w:firstLine="576"/>
        <w:jc w:val="left"/>
      </w:pPr>
      <w:r>
        <w:rPr/>
        <w:t xml:space="preserve">(7) An argument advocating the voters' approval of the measure together with any statement in rebuttal of the opposing argument;</w:t>
      </w:r>
    </w:p>
    <w:p>
      <w:pPr>
        <w:spacing w:before="0" w:after="0" w:line="408" w:lineRule="exact"/>
        <w:ind w:left="0" w:right="0" w:firstLine="576"/>
        <w:jc w:val="left"/>
      </w:pPr>
      <w:r>
        <w:rPr/>
        <w:t xml:space="preserve">(8) An argument advocating the voters' rejection of the measure together with any statement in rebuttal of the opposing argument;</w:t>
      </w:r>
    </w:p>
    <w:p>
      <w:pPr>
        <w:spacing w:before="0" w:after="0" w:line="408" w:lineRule="exact"/>
        <w:ind w:left="0" w:right="0" w:firstLine="576"/>
        <w:jc w:val="left"/>
      </w:pPr>
      <w:r>
        <w:rPr/>
        <w:t xml:space="preserve">(9)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rPr/>
        <w:t xml:space="preserve">(10) The full text of the measure</w:t>
      </w:r>
      <w:r>
        <w:t>((</w:t>
      </w:r>
      <w:r>
        <w:rPr>
          <w:strike/>
        </w:rPr>
        <w:t xml:space="preserve">;</w:t>
      </w:r>
    </w:p>
    <w:p>
      <w:pPr>
        <w:spacing w:before="0" w:after="0" w:line="408" w:lineRule="exact"/>
        <w:ind w:left="0" w:right="0" w:firstLine="576"/>
        <w:jc w:val="left"/>
      </w:pPr>
      <w:r>
        <w:rPr>
          <w:strike/>
        </w:rPr>
        <w:t xml:space="preserve">(11) Two pages shall be provided in the general election voters' pamphlet for each measure for an advisory vote of the people under RCW 43.135.041 and shall consist of the serial number assigned by the secretary of state under RCW 29A.72.040, the short description formulated by the attorney general under RCW 29A.72.283, the tax increase's most up</w:t>
      </w:r>
      <w:r>
        <w:rPr/>
        <w:noBreakHyphen/>
      </w:r>
      <w:r>
        <w:rPr>
          <w:strike/>
        </w:rPr>
        <w:t xml:space="preserve">to</w:t>
      </w:r>
      <w:r>
        <w:rPr/>
        <w:noBreakHyphen/>
      </w:r>
      <w:r>
        <w:rPr>
          <w:strike/>
        </w:rPr>
        <w:t xml:space="preserve">date ten</w:t>
      </w:r>
      <w:r>
        <w:rPr/>
        <w:noBreakHyphen/>
      </w:r>
      <w:r>
        <w:rPr>
          <w:strike/>
        </w:rPr>
        <w:t xml:space="preserve">year cost projection, including a year</w:t>
      </w:r>
      <w:r>
        <w:rPr/>
        <w:noBreakHyphen/>
      </w:r>
      <w:r>
        <w:rPr>
          <w:strike/>
        </w:rPr>
        <w:t xml:space="preserve">by</w:t>
      </w:r>
      <w:r>
        <w:rPr/>
        <w:noBreakHyphen/>
      </w:r>
      <w:r>
        <w:rPr>
          <w:strike/>
        </w:rPr>
        <w:t xml:space="preserve">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affiliation (for example, Democrat or Republican), city or town they live in, office phone number, and office email address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64</w:t>
      </w:r>
      <w:r>
        <w:rPr/>
        <w:t xml:space="preserve">.</w:t>
      </w:r>
      <w:r>
        <w:t xml:space="preserve">090</w:t>
      </w:r>
      <w:r>
        <w:rPr/>
        <w:t xml:space="preserve"> and 2016 c 204 s 1 are each amended to read as follows:</w:t>
      </w:r>
    </w:p>
    <w:p>
      <w:pPr>
        <w:spacing w:before="0" w:after="0" w:line="408" w:lineRule="exact"/>
        <w:ind w:left="0" w:right="0" w:firstLine="576"/>
        <w:jc w:val="left"/>
      </w:pPr>
      <w:r>
        <w:rPr/>
        <w:t xml:space="preserve">When the official canvass of returns of any election reveals that the difference in the number of votes cast for the approval of a statewide measure and the number of votes cast for the rejection of such measure is less than two thousand votes and also less than one-half of one percent of the total number of votes cast on such measure, the secretary of state shall direct that a recount of all votes cast on such measure be made on such measure, in the manner provided by RCW 29A.64.041 and 29A.64.061, and the cost of such recount will be at state expense. </w:t>
      </w:r>
      <w:r>
        <w:t>((</w:t>
      </w:r>
      <w:r>
        <w:rPr>
          <w:strike/>
        </w:rPr>
        <w:t xml:space="preserve">This section does not apply to any statewide advisory vote of the people that was placed on the ballot pursuant to RCW 43.135.041 and the secretary of state shall not direct any recount for any statewide advisory vote of the people.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040</w:t>
      </w:r>
      <w:r>
        <w:rPr/>
        <w:t xml:space="preserve"> and 2008 c 1 s 7 are each amended to read as follows:</w:t>
      </w:r>
    </w:p>
    <w:p>
      <w:pPr>
        <w:spacing w:before="0" w:after="0" w:line="408" w:lineRule="exact"/>
        <w:ind w:left="0" w:right="0" w:firstLine="576"/>
        <w:jc w:val="left"/>
      </w:pPr>
      <w:r>
        <w:rPr/>
        <w:t xml:space="preserve">The secretary of state shall give a serial number to each initiative, referendum bill, </w:t>
      </w:r>
      <w:r>
        <w:rPr>
          <w:u w:val="single"/>
        </w:rPr>
        <w:t xml:space="preserve">or</w:t>
      </w:r>
      <w:r>
        <w:rPr/>
        <w:t xml:space="preserve"> referendum measure, </w:t>
      </w:r>
      <w:r>
        <w:t>((</w:t>
      </w:r>
      <w:r>
        <w:rPr>
          <w:strike/>
        </w:rPr>
        <w:t xml:space="preserve">or measure for an advisory vote of the people,</w:t>
      </w:r>
      <w:r>
        <w:t>))</w:t>
      </w:r>
      <w:r>
        <w:rPr/>
        <w:t xml:space="preserve"> using a separate series for initiatives to the legislature, initiatives to the people, referendum bills, </w:t>
      </w:r>
      <w:r>
        <w:rPr>
          <w:u w:val="single"/>
        </w:rPr>
        <w:t xml:space="preserve">and</w:t>
      </w:r>
      <w:r>
        <w:rPr/>
        <w:t xml:space="preserve"> referendum measures, </w:t>
      </w:r>
      <w:r>
        <w:t>((</w:t>
      </w:r>
      <w:r>
        <w:rPr>
          <w:strike/>
        </w:rPr>
        <w:t xml:space="preserve">and measures for an advisory vote of the people,</w:t>
      </w:r>
      <w:r>
        <w:t>))</w:t>
      </w:r>
      <w:r>
        <w:rPr/>
        <w:t xml:space="preserve"> and forthwith transmit one copy of the measure proposed bearing its serial number to the attorney general. Thereafter a measure shall be known and designated on all petitions, ballots, and proceedings as "Initiative Measure No. . . . .," "Referendum Bill No. . . . .," </w:t>
      </w:r>
      <w:r>
        <w:rPr>
          <w:u w:val="single"/>
        </w:rPr>
        <w:t xml:space="preserve">or</w:t>
      </w:r>
      <w:r>
        <w:rPr/>
        <w:t xml:space="preserve"> "Referendum Measure No. . . . .</w:t>
      </w:r>
      <w:r>
        <w:t>((</w:t>
      </w:r>
      <w:r>
        <w:rPr>
          <w:strike/>
        </w:rPr>
        <w:t xml:space="preserve">,</w:t>
      </w:r>
      <w:r>
        <w:t>))</w:t>
      </w:r>
      <w:r>
        <w:rPr>
          <w:u w:val="single"/>
        </w:rPr>
        <w:t xml:space="preserve">.</w:t>
      </w:r>
      <w:r>
        <w:rPr/>
        <w:t xml:space="preserve">" </w:t>
      </w:r>
      <w:r>
        <w:t>((</w:t>
      </w:r>
      <w:r>
        <w:rPr>
          <w:strike/>
        </w:rPr>
        <w:t xml:space="preserve">or "Advisory Vote No. . . . .."</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250</w:t>
      </w:r>
      <w:r>
        <w:rPr/>
        <w:t xml:space="preserve"> and 2013 c 11 s 75 are each amended to read as follows:</w:t>
      </w:r>
    </w:p>
    <w:p>
      <w:pPr>
        <w:spacing w:before="0" w:after="0" w:line="408" w:lineRule="exact"/>
        <w:ind w:left="0" w:right="0" w:firstLine="576"/>
        <w:jc w:val="left"/>
      </w:pPr>
      <w:r>
        <w:rPr/>
        <w:t xml:space="preserve">If a referendum or initiative petition for submission of a measure to the people is found sufficient, the secretary of state shall at the time and in the manner that he or she certifies to the county auditors of the various counties the names of candidates for state and district officers certify to each county auditor the serial numbers and ballot titles of the several initiative and referendum measures </w:t>
      </w:r>
      <w:r>
        <w:t>((</w:t>
      </w:r>
      <w:r>
        <w:rPr>
          <w:strike/>
        </w:rPr>
        <w:t xml:space="preserve">and serial numbers and short descriptions of measures submitted for an advisory vote of the people</w:t>
      </w:r>
      <w:r>
        <w:t>))</w:t>
      </w:r>
      <w:r>
        <w:rPr/>
        <w:t xml:space="preserve"> to be voted upon at the next ensuing general election or special election ordered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290</w:t>
      </w:r>
      <w:r>
        <w:rPr/>
        <w:t xml:space="preserve"> and 2022 c 114 s 4 are each amended to read as follows:</w:t>
      </w:r>
    </w:p>
    <w:p>
      <w:pPr>
        <w:spacing w:before="0" w:after="0" w:line="408" w:lineRule="exact"/>
        <w:ind w:left="0" w:right="0" w:firstLine="576"/>
        <w:jc w:val="left"/>
      </w:pPr>
      <w:r>
        <w:rPr/>
        <w:t xml:space="preserve">The county auditor of each county shall print </w:t>
      </w:r>
      <w:r>
        <w:rPr>
          <w:u w:val="single"/>
        </w:rPr>
        <w:t xml:space="preserve">the serial numbers, ballot titles, and public investment impact disclosures certified by the secretary of state</w:t>
      </w:r>
      <w:r>
        <w:rPr/>
        <w:t xml:space="preserve"> on the official ballots for the election at which initiative and referendum measures </w:t>
      </w:r>
      <w:r>
        <w:t>((</w:t>
      </w:r>
      <w:r>
        <w:rPr>
          <w:strike/>
        </w:rPr>
        <w:t xml:space="preserve">and measures for an advisory vote of the people</w:t>
      </w:r>
      <w:r>
        <w:t>))</w:t>
      </w:r>
      <w:r>
        <w:rPr/>
        <w:t xml:space="preserve"> are to be submitted to the people for their approval or rejection</w:t>
      </w:r>
      <w:r>
        <w:t>((</w:t>
      </w:r>
      <w:r>
        <w:rPr>
          <w:strike/>
        </w:rPr>
        <w:t xml:space="preserve">, the serial numbers, ballot titles, and public investment impact disclosures certified by the secretary of state and the serial numbers and short descriptions of measures for an advisory vote of the people</w:t>
      </w:r>
      <w:r>
        <w:t>))</w:t>
      </w:r>
      <w:r>
        <w:rPr/>
        <w:t xml:space="preserve">. They must appear under separate headings in the order of the serial numbers as follows:</w:t>
      </w:r>
    </w:p>
    <w:p>
      <w:pPr>
        <w:spacing w:before="0" w:after="0" w:line="408" w:lineRule="exact"/>
        <w:ind w:left="0" w:right="0" w:firstLine="576"/>
        <w:jc w:val="left"/>
      </w:pPr>
      <w:r>
        <w:rPr/>
        <w:t xml:space="preserve">(1) Initiatives to the people;</w:t>
      </w:r>
    </w:p>
    <w:p>
      <w:pPr>
        <w:spacing w:before="0" w:after="0" w:line="408" w:lineRule="exact"/>
        <w:ind w:left="0" w:right="0" w:firstLine="576"/>
        <w:jc w:val="left"/>
      </w:pPr>
      <w:r>
        <w:rPr/>
        <w:t xml:space="preserve">(2) Referendum measures;</w:t>
      </w:r>
    </w:p>
    <w:p>
      <w:pPr>
        <w:spacing w:before="0" w:after="0" w:line="408" w:lineRule="exact"/>
        <w:ind w:left="0" w:right="0" w:firstLine="576"/>
        <w:jc w:val="left"/>
      </w:pPr>
      <w:r>
        <w:rPr/>
        <w:t xml:space="preserve">(3) Referendum bills;</w:t>
      </w:r>
    </w:p>
    <w:p>
      <w:pPr>
        <w:spacing w:before="0" w:after="0" w:line="408" w:lineRule="exact"/>
        <w:ind w:left="0" w:right="0" w:firstLine="576"/>
        <w:jc w:val="left"/>
      </w:pPr>
      <w:r>
        <w:rPr/>
        <w:t xml:space="preserve">(4) Initiatives to the legislature;</w:t>
      </w:r>
    </w:p>
    <w:p>
      <w:pPr>
        <w:spacing w:before="0" w:after="0" w:line="408" w:lineRule="exact"/>
        <w:ind w:left="0" w:right="0" w:firstLine="576"/>
        <w:jc w:val="left"/>
      </w:pPr>
      <w:r>
        <w:rPr/>
        <w:t xml:space="preserve">(5) Initiatives to the legislature and legislative alternatives;</w:t>
      </w:r>
    </w:p>
    <w:p>
      <w:pPr>
        <w:spacing w:before="0" w:after="0" w:line="408" w:lineRule="exact"/>
        <w:ind w:left="0" w:right="0" w:firstLine="576"/>
        <w:jc w:val="left"/>
      </w:pPr>
      <w:r>
        <w:rPr/>
        <w:t xml:space="preserve">(6) </w:t>
      </w:r>
      <w:r>
        <w:t>((</w:t>
      </w:r>
      <w:r>
        <w:rPr>
          <w:strike/>
        </w:rPr>
        <w:t xml:space="preserve">Advisory votes;</w:t>
      </w:r>
    </w:p>
    <w:p>
      <w:pPr>
        <w:spacing w:before="0" w:after="0" w:line="408" w:lineRule="exact"/>
        <w:ind w:left="0" w:right="0" w:firstLine="576"/>
        <w:jc w:val="left"/>
      </w:pPr>
      <w:r>
        <w:rPr>
          <w:strike/>
        </w:rPr>
        <w:t xml:space="preserve">(7)</w:t>
      </w:r>
      <w:r>
        <w:t>))</w:t>
      </w:r>
      <w:r>
        <w:rPr/>
        <w:t xml:space="preserve"> Proposed constitutional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29A</w:t>
      </w:r>
      <w:r>
        <w:rPr/>
        <w:t xml:space="preserve">.</w:t>
      </w:r>
      <w:r>
        <w:t xml:space="preserve">72</w:t>
      </w:r>
      <w:r>
        <w:rPr/>
        <w:t xml:space="preserve">.</w:t>
      </w:r>
      <w:r>
        <w:t xml:space="preserve">283</w:t>
      </w:r>
      <w:r>
        <w:rPr/>
        <w:t xml:space="preserve"> (Advisory vote on tax legislation</w:t>
      </w:r>
      <w:r>
        <w:rPr>
          <w:rFonts w:ascii="Times New Roman" w:hAnsi="Times New Roman"/>
        </w:rPr>
        <w:t xml:space="preserve">—</w:t>
      </w:r>
      <w:r>
        <w:rPr/>
        <w:t xml:space="preserve">Short description) and 2008 c 1 s 8;</w:t>
      </w:r>
    </w:p>
    <w:p>
      <w:pPr>
        <w:spacing w:before="0" w:after="0" w:line="408" w:lineRule="exact"/>
        <w:ind w:left="0" w:right="0" w:firstLine="576"/>
        <w:jc w:val="left"/>
      </w:pPr>
      <w:r>
        <w:t xml:space="preserve">(2) </w:t>
      </w:r>
      <w:r>
        <w:rPr/>
        <w:t xml:space="preserve">RCW </w:t>
      </w:r>
      <w:r>
        <w:t xml:space="preserve">29A</w:t>
      </w:r>
      <w:r>
        <w:rPr/>
        <w:t xml:space="preserve">.</w:t>
      </w:r>
      <w:r>
        <w:t xml:space="preserve">72</w:t>
      </w:r>
      <w:r>
        <w:rPr/>
        <w:t xml:space="preserve">.</w:t>
      </w:r>
      <w:r>
        <w:t xml:space="preserve">285</w:t>
      </w:r>
      <w:r>
        <w:rPr/>
        <w:t xml:space="preserve"> (Advisory vote on tax legislation</w:t>
      </w:r>
      <w:r>
        <w:rPr>
          <w:rFonts w:ascii="Times New Roman" w:hAnsi="Times New Roman"/>
        </w:rPr>
        <w:t xml:space="preserve">—</w:t>
      </w:r>
      <w:r>
        <w:rPr/>
        <w:t xml:space="preserve">Short description filing and transmittal) and 2008 c 1 s 9; and</w:t>
      </w:r>
    </w:p>
    <w:p>
      <w:pPr>
        <w:spacing w:before="0" w:after="0" w:line="408" w:lineRule="exact"/>
        <w:ind w:left="0" w:right="0" w:firstLine="576"/>
        <w:jc w:val="left"/>
      </w:pPr>
      <w:r>
        <w:t xml:space="preserve">(3) </w:t>
      </w:r>
      <w:r>
        <w:rPr/>
        <w:t xml:space="preserve">RCW </w:t>
      </w:r>
      <w:r>
        <w:t xml:space="preserve">43</w:t>
      </w:r>
      <w:r>
        <w:rPr/>
        <w:t xml:space="preserve">.</w:t>
      </w:r>
      <w:r>
        <w:t xml:space="preserve">135</w:t>
      </w:r>
      <w:r>
        <w:rPr/>
        <w:t xml:space="preserve">.</w:t>
      </w:r>
      <w:r>
        <w:t xml:space="preserve">041</w:t>
      </w:r>
      <w:r>
        <w:rPr/>
        <w:t xml:space="preserve"> (Tax legislation</w:t>
      </w:r>
      <w:r>
        <w:rPr>
          <w:rFonts w:ascii="Times New Roman" w:hAnsi="Times New Roman"/>
        </w:rPr>
        <w:t xml:space="preserve">—</w:t>
      </w:r>
      <w:r>
        <w:rPr/>
        <w:t xml:space="preserve">Advisory vote</w:t>
      </w:r>
      <w:r>
        <w:rPr>
          <w:rFonts w:ascii="Times New Roman" w:hAnsi="Times New Roman"/>
        </w:rPr>
        <w:t xml:space="preserve">—</w:t>
      </w:r>
      <w:r>
        <w:rPr/>
        <w:t xml:space="preserve">Duties of the attorney general and secretary of state</w:t>
      </w:r>
      <w:r>
        <w:rPr>
          <w:rFonts w:ascii="Times New Roman" w:hAnsi="Times New Roman"/>
        </w:rPr>
        <w:t xml:space="preserve">—</w:t>
      </w:r>
      <w:r>
        <w:rPr/>
        <w:t xml:space="preserve">Exemption) and 2016 c 1 s 5, 2013 c 1 s 6, 2010 c 4 s 3, &amp; 2008 c 1 s 6.</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INFORMATION REGARDING STATE TAX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031</w:t>
      </w:r>
      <w:r>
        <w:rPr/>
        <w:t xml:space="preserve"> and 2020 c 208 s 11 are each amended to read as follows:</w:t>
      </w:r>
    </w:p>
    <w:p>
      <w:pPr>
        <w:spacing w:before="0" w:after="0" w:line="408" w:lineRule="exact"/>
        <w:ind w:left="0" w:right="0" w:firstLine="576"/>
        <w:jc w:val="left"/>
      </w:pPr>
      <w:r>
        <w:rPr/>
        <w:t xml:space="preserve">The voters' pamphlet published or distributed under RCW 29A.32.010 must contain:</w:t>
      </w:r>
    </w:p>
    <w:p>
      <w:pPr>
        <w:spacing w:before="0" w:after="0" w:line="408" w:lineRule="exact"/>
        <w:ind w:left="0" w:right="0" w:firstLine="576"/>
        <w:jc w:val="left"/>
      </w:pPr>
      <w:r>
        <w:rPr/>
        <w:t xml:space="preserve">(1) Information about </w:t>
      </w:r>
      <w:r>
        <w:t>((</w:t>
      </w:r>
      <w:r>
        <w:rPr>
          <w:strike/>
        </w:rPr>
        <w:t xml:space="preserve">each measure for an advisory vote of the people and</w:t>
      </w:r>
      <w:r>
        <w:t>))</w:t>
      </w:r>
      <w:r>
        <w:rPr/>
        <w:t xml:space="preserve"> each ballot measure initiated by or referred to the voters for their approval or rejection as required by RCW 29A.32.070;</w:t>
      </w:r>
    </w:p>
    <w:p>
      <w:pPr>
        <w:spacing w:before="0" w:after="0" w:line="408" w:lineRule="exact"/>
        <w:ind w:left="0" w:right="0" w:firstLine="576"/>
        <w:jc w:val="left"/>
      </w:pPr>
      <w:r>
        <w:rPr/>
        <w:t xml:space="preserve">(2) In even</w:t>
      </w:r>
      <w:r>
        <w:rPr/>
        <w:noBreakHyphen/>
      </w:r>
      <w:r>
        <w:rPr/>
        <w:t xml:space="preserve">numbered years, statements, if submitted, from candidates for the office of president and vice president of the United States, United States senator, United States representative, governor, lieutenant governor, secretary of state, state treasurer, state auditor, attorney general, commissioner of public lands, superintendent of public instruction, insurance commissioner, state senator, state representative, justice of the supreme court, judge of the court of appeals, or judge of the superior court. Candidates may also submit campaign contact information and a photograph not more than five years old in a format that the secretary of state determines to be suitable for reproduction in the voters' pamphlet;</w:t>
      </w:r>
    </w:p>
    <w:p>
      <w:pPr>
        <w:spacing w:before="0" w:after="0" w:line="408" w:lineRule="exact"/>
        <w:ind w:left="0" w:right="0" w:firstLine="576"/>
        <w:jc w:val="left"/>
      </w:pPr>
      <w:r>
        <w:rPr/>
        <w:t xml:space="preserve">(3) In odd</w:t>
      </w:r>
      <w:r>
        <w:rPr/>
        <w:noBreakHyphen/>
      </w:r>
      <w:r>
        <w:rPr/>
        <w:t xml:space="preserve">numbered years, if any office voted upon statewide appears on the ballot due to a vacancy, then statements and photographs for candidates for any vacant office listed in subsection (2) of this section must appear;</w:t>
      </w:r>
    </w:p>
    <w:p>
      <w:pPr>
        <w:spacing w:before="0" w:after="0" w:line="408" w:lineRule="exact"/>
        <w:ind w:left="0" w:right="0" w:firstLine="576"/>
        <w:jc w:val="left"/>
      </w:pPr>
      <w:r>
        <w:rPr/>
        <w:t xml:space="preserve">(4) Contact information for the public disclosure commission established under RCW 42.17A.100, including the following statement: "For a list of the people and organizations that donated to state and local candidates and ballot measure campaigns, visit www.pdc.wa.gov." The statement must be placed in a prominent position, such as on the cover or on the first two pages of the voters' pamphlet. The secretary of state may substitute such language as is necessary for accuracy and clarity and consistent with the intent of this section;</w:t>
      </w:r>
    </w:p>
    <w:p>
      <w:pPr>
        <w:spacing w:before="0" w:after="0" w:line="408" w:lineRule="exact"/>
        <w:ind w:left="0" w:right="0" w:firstLine="576"/>
        <w:jc w:val="left"/>
      </w:pPr>
      <w:r>
        <w:rPr/>
        <w:t xml:space="preserve">(5) Contact information for major political parties;</w:t>
      </w:r>
    </w:p>
    <w:p>
      <w:pPr>
        <w:spacing w:before="0" w:after="0" w:line="408" w:lineRule="exact"/>
        <w:ind w:left="0" w:right="0" w:firstLine="576"/>
        <w:jc w:val="left"/>
      </w:pPr>
      <w:r>
        <w:rPr/>
        <w:t xml:space="preserve">(6) A brief statement explaining the deletion and addition of language for proposed measures under RCW 29A.32.080;</w:t>
      </w:r>
    </w:p>
    <w:p>
      <w:pPr>
        <w:spacing w:before="0" w:after="0" w:line="408" w:lineRule="exact"/>
        <w:ind w:left="0" w:right="0" w:firstLine="576"/>
        <w:jc w:val="left"/>
      </w:pPr>
      <w:r>
        <w:rPr/>
        <w:t xml:space="preserve">(7) A list of all student engagement hubs as designated under RCW 29A.40.180; </w:t>
      </w:r>
      <w:r>
        <w:t>((</w:t>
      </w:r>
      <w:r>
        <w:rPr>
          <w:strike/>
        </w:rPr>
        <w:t xml:space="preserve">and</w:t>
      </w:r>
      <w:r>
        <w:t>))</w:t>
      </w:r>
    </w:p>
    <w:p>
      <w:pPr>
        <w:spacing w:before="0" w:after="0" w:line="408" w:lineRule="exact"/>
        <w:ind w:left="0" w:right="0" w:firstLine="576"/>
        <w:jc w:val="left"/>
      </w:pPr>
      <w:r>
        <w:rPr/>
        <w:t xml:space="preserve">(8) </w:t>
      </w:r>
      <w:r>
        <w:rPr>
          <w:u w:val="single"/>
        </w:rPr>
        <w:t xml:space="preserve">A page providing information about how to access the internet presentation of the information created in section 9 of this act about the state budgets, including a uniform resource locator, a quick response code, and a phone number for the legislative information center. The uniform resource locator and quick response codes will lead the voter to the internet information required in section 9 of this act; and</w:t>
      </w:r>
    </w:p>
    <w:p>
      <w:pPr>
        <w:spacing w:before="0" w:after="0" w:line="408" w:lineRule="exact"/>
        <w:ind w:left="0" w:right="0" w:firstLine="576"/>
        <w:jc w:val="left"/>
      </w:pPr>
      <w:r>
        <w:rPr>
          <w:u w:val="single"/>
        </w:rPr>
        <w:t xml:space="preserve">(9)</w:t>
      </w:r>
      <w:r>
        <w:rPr/>
        <w:t xml:space="preserve"> Any additional information pertaining to elections as may be required by law or in the judgment of the secretary of state is deemed informative to the voters.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44</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The legislative evaluation and accountability program, in conjunction with the office of financial management, must create a website presentation accessible 24 hours a day beginning August 15th of each year containing the following information:</w:t>
      </w:r>
    </w:p>
    <w:p>
      <w:pPr>
        <w:spacing w:before="0" w:after="0" w:line="408" w:lineRule="exact"/>
        <w:ind w:left="0" w:right="0" w:firstLine="576"/>
        <w:jc w:val="left"/>
      </w:pPr>
      <w:r>
        <w:rPr/>
        <w:t xml:space="preserve">(1)(a) A summary of each of the following:</w:t>
      </w:r>
    </w:p>
    <w:p>
      <w:pPr>
        <w:spacing w:before="0" w:after="0" w:line="408" w:lineRule="exact"/>
        <w:ind w:left="0" w:right="0" w:firstLine="576"/>
        <w:jc w:val="left"/>
      </w:pPr>
      <w:r>
        <w:rPr/>
        <w:t xml:space="preserve">(i) The adopted operating budget and supplemental operating budget for the most recent fiscal biennium;</w:t>
      </w:r>
    </w:p>
    <w:p>
      <w:pPr>
        <w:spacing w:before="0" w:after="0" w:line="408" w:lineRule="exact"/>
        <w:ind w:left="0" w:right="0" w:firstLine="576"/>
        <w:jc w:val="left"/>
      </w:pPr>
      <w:r>
        <w:rPr/>
        <w:t xml:space="preserve">(ii) The adopted capital budget and supplemental capital budget for the most recent fiscal biennium; and</w:t>
      </w:r>
    </w:p>
    <w:p>
      <w:pPr>
        <w:spacing w:before="0" w:after="0" w:line="408" w:lineRule="exact"/>
        <w:ind w:left="0" w:right="0" w:firstLine="576"/>
        <w:jc w:val="left"/>
      </w:pPr>
      <w:r>
        <w:rPr/>
        <w:t xml:space="preserve">(iii) The adopted transportation budget and supplemental transportation budget for the most recent fiscal biennium;</w:t>
      </w:r>
    </w:p>
    <w:p>
      <w:pPr>
        <w:spacing w:before="0" w:after="0" w:line="408" w:lineRule="exact"/>
        <w:ind w:left="0" w:right="0" w:firstLine="576"/>
        <w:jc w:val="left"/>
      </w:pPr>
      <w:r>
        <w:rPr/>
        <w:t xml:space="preserve">(b) Every summary required by (a) of this subsection must additionally include:</w:t>
      </w:r>
    </w:p>
    <w:p>
      <w:pPr>
        <w:spacing w:before="0" w:after="0" w:line="408" w:lineRule="exact"/>
        <w:ind w:left="0" w:right="0" w:firstLine="576"/>
        <w:jc w:val="left"/>
      </w:pPr>
      <w:r>
        <w:rPr/>
        <w:t xml:space="preserve">(i) The numbers of each bill that was part of the budget for that session;</w:t>
      </w:r>
    </w:p>
    <w:p>
      <w:pPr>
        <w:spacing w:before="0" w:after="0" w:line="408" w:lineRule="exact"/>
        <w:ind w:left="0" w:right="0" w:firstLine="576"/>
        <w:jc w:val="left"/>
      </w:pPr>
      <w:r>
        <w:rPr/>
        <w:t xml:space="preserve">(ii) Access information for each bill on the official legislative website;</w:t>
      </w:r>
    </w:p>
    <w:p>
      <w:pPr>
        <w:spacing w:before="0" w:after="0" w:line="408" w:lineRule="exact"/>
        <w:ind w:left="0" w:right="0" w:firstLine="576"/>
        <w:jc w:val="left"/>
      </w:pPr>
      <w:r>
        <w:rPr/>
        <w:t xml:space="preserve">(iii) The date that each bill was approved with brief instructions on how to locate roll call votes online; and</w:t>
      </w:r>
    </w:p>
    <w:p>
      <w:pPr>
        <w:spacing w:before="0" w:after="0" w:line="408" w:lineRule="exact"/>
        <w:ind w:left="0" w:right="0" w:firstLine="576"/>
        <w:jc w:val="left"/>
      </w:pPr>
      <w:r>
        <w:rPr/>
        <w:t xml:space="preserve">(iv) The number of votes cast for and against each bill;</w:t>
      </w:r>
    </w:p>
    <w:p>
      <w:pPr>
        <w:spacing w:before="0" w:after="0" w:line="408" w:lineRule="exact"/>
        <w:ind w:left="0" w:right="0" w:firstLine="576"/>
        <w:jc w:val="left"/>
      </w:pPr>
      <w:r>
        <w:rPr/>
        <w:t xml:space="preserve">(2) Graphical depictions of funds subject to outlook and a data visualization showing total budgeted funds for the state operating budget by functional areas of government for the most recent biennium;</w:t>
      </w:r>
    </w:p>
    <w:p>
      <w:pPr>
        <w:spacing w:before="0" w:after="0" w:line="408" w:lineRule="exact"/>
        <w:ind w:left="0" w:right="0" w:firstLine="576"/>
        <w:jc w:val="left"/>
      </w:pPr>
      <w:r>
        <w:rPr/>
        <w:t xml:space="preserve">(3) Tables provided by the office of financial management comparing state and local expenditures with personal income from the most recent fiscal year available to each fiscal year going back 20 years; and</w:t>
      </w:r>
    </w:p>
    <w:p>
      <w:pPr>
        <w:spacing w:before="0" w:after="0" w:line="408" w:lineRule="exact"/>
        <w:ind w:left="0" w:right="0" w:firstLine="576"/>
        <w:jc w:val="left"/>
      </w:pPr>
      <w:r>
        <w:rPr/>
        <w:t xml:space="preserve">(4) A list, generated by the legislative evaluation and accountability program in coordination with the office of financial management, of every bill for which an analysis was produced in compliance with RCW 43.135.031, and links to the legislative website for each bill on the list so the public may see how legislators voted and instructions for voters on how to locate analyses produced in compliance with RCW 43.135.031.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2023.</w:t>
      </w:r>
    </w:p>
    <w:p>
      <w:pPr>
        <w:spacing w:before="0" w:after="0" w:line="408" w:lineRule="exact"/>
        <w:ind w:left="0" w:right="0" w:firstLine="576"/>
        <w:jc w:val="left"/>
      </w:pPr>
      <w:r>
        <w:rPr/>
        <w:t xml:space="preserve">Passed by the House April 7, 2023.</w:t>
      </w:r>
    </w:p>
    <w:p>
      <w:pPr>
        <w:spacing w:before="0" w:after="0" w:line="408" w:lineRule="exact"/>
        <w:ind w:left="0" w:right="0" w:firstLine="576"/>
        <w:jc w:val="left"/>
      </w:pPr>
      <w:r>
        <w:rPr/>
        <w:t xml:space="preserve">Approved by the Governor April 20, 2023.</w:t>
      </w:r>
    </w:p>
    <w:p>
      <w:pPr>
        <w:spacing w:before="0" w:after="0" w:line="408" w:lineRule="exact"/>
        <w:ind w:left="0" w:right="0" w:firstLine="576"/>
        <w:jc w:val="left"/>
      </w:pPr>
      <w:r>
        <w:rPr/>
        <w:t xml:space="preserve">Filed in Office of Secretary of State April 21, 2023.</w:t>
      </w:r>
    </w:p>
    <w:sectPr>
      <w:pgNumType w:start="1"/>
      <w:footerReference xmlns:r="http://schemas.openxmlformats.org/officeDocument/2006/relationships" r:id="Rb4c62723083d4351"/>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5082.SL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cc4d7cd7694c69" /><Relationship Type="http://schemas.openxmlformats.org/officeDocument/2006/relationships/footer" Target="/word/footer1.xml" Id="Rb4c62723083d4351" /></Relationships>
</file>