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752c29b0fe41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5058</w:t>
      </w:r>
    </w:p>
    <w:p>
      <w:pPr>
        <w:jc w:val="center"/>
        <w:spacing w:before="480" w:after="0" w:line="240"/>
      </w:pPr>
      <w:r>
        <w:t xml:space="preserve">Chapter </w:t>
      </w:r>
      <w:r>
        <w:rPr/>
        <w:t xml:space="preserve">263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MULTIUNIT RESIDENTIAL BUILDINGS—EXEMPTION—DESIGN, INSPECTIONS, AND CONSTRUCTION DEFECT DISPUTES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5058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5058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Padden, Pedersen, Billig, Fortunato, Holy, Short, and L. Wilson</w:t>
      </w:r>
    </w:p>
    <w:p/>
    <w:p>
      <w:r>
        <w:rPr>
          <w:t xml:space="preserve">Prefiled 12/16/22.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buildings with 12 or fewer units that are no more than two stories from the definition of multiunit residential building; and amending RCW 64.55.010.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2005 c 456 s 2 are each amended to read as follows:</w:t>
      </w:r>
    </w:p>
    <w:p>
      <w:pPr>
        <w:spacing w:before="0" w:after="0" w:line="408" w:lineRule="exact"/>
        <w:ind w:left="0" w:right="0" w:firstLine="576"/>
        <w:jc w:val="left"/>
      </w:pPr>
      <w:r>
        <w:rPr/>
        <w:t xml:space="preserve">Unless the context clearly requires otherwise, the definitions in RCW 64.34.020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t>
      </w:r>
      <w:r>
        <w:t>((</w:t>
      </w:r>
      <w:r>
        <w:rPr>
          <w:strike/>
        </w:rPr>
        <w:t xml:space="preserve">which</w:t>
      </w:r>
      <w:r>
        <w:t>))</w:t>
      </w:r>
      <w:r>
        <w:rPr/>
        <w:t xml:space="preserve"> </w:t>
      </w:r>
      <w:r>
        <w:rPr>
          <w:u w:val="single"/>
        </w:rPr>
        <w:t xml:space="preserve">who</w:t>
      </w:r>
      <w:r>
        <w:rPr/>
        <w:t xml:space="preserve">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w:t>
      </w:r>
      <w:r>
        <w:rPr>
          <w:u w:val="single"/>
        </w:rPr>
        <w:t xml:space="preserve">; and</w:t>
      </w:r>
    </w:p>
    <w:p>
      <w:pPr>
        <w:spacing w:before="0" w:after="0" w:line="408" w:lineRule="exact"/>
        <w:ind w:left="0" w:right="0" w:firstLine="576"/>
        <w:jc w:val="left"/>
      </w:pPr>
      <w:r>
        <w:rPr>
          <w:u w:val="single"/>
        </w:rPr>
        <w:t xml:space="preserve">(vii) A building with 12 or fewer units that is no more than two stories</w:t>
      </w:r>
      <w:r>
        <w:rPr/>
        <w:t xml:space="preserve">.</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64.34.400(2).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listed in RCW 64.34.400(2).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0d5345b2993346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905eb61b4d4b0b" /><Relationship Type="http://schemas.openxmlformats.org/officeDocument/2006/relationships/footer" Target="/word/footer1.xml" Id="R0d5345b2993346c9" /></Relationships>
</file>