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7f1e6b752f4b0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2056</w:t>
      </w:r>
    </w:p>
    <w:p>
      <w:pPr>
        <w:jc w:val="center"/>
        <w:spacing w:before="480" w:after="0" w:line="240"/>
      </w:pPr>
      <w:r>
        <w:t xml:space="preserve">Chapter </w:t>
      </w:r>
      <w:r>
        <w:rPr/>
        <w:t xml:space="preserve">303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SUPREME COURT BAILIFFS—INVESTIGATIVE AUTHORITY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2056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1:57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2056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Goodman, Cheney, and Reeves; by request of Administrative Office of the Courts)</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sharing and limited investigative authority of supreme court bailiffs; amending RCW 10.97.050; and adding a new section to chapter 2.04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Bailiffs of the supreme court are authorized to conduct threat assessments on behalf of supreme court justices. The supreme court shall ensure that supreme court bailiffs are qualified by training and experience.</w:t>
      </w:r>
    </w:p>
    <w:p>
      <w:pPr>
        <w:spacing w:before="0" w:after="0" w:line="408" w:lineRule="exact"/>
        <w:ind w:left="0" w:right="0" w:firstLine="576"/>
        <w:jc w:val="left"/>
      </w:pPr>
      <w:r>
        <w:rPr/>
        <w:t xml:space="preserve">(2) Bailiffs of the supreme court are authorized to receive criminal history record information that includes nonconviction data for purposes exclusively related to the investigation of any person making a threat as defined in RCW 9A.04.110 against a supreme court justice. Dissemination or use of criminal history records or nonconviction data for purposes other than authorized in this section is prohibited.</w:t>
      </w:r>
    </w:p>
    <w:p>
      <w:pPr>
        <w:spacing w:before="0" w:after="0" w:line="408" w:lineRule="exact"/>
        <w:ind w:left="0" w:right="0" w:firstLine="576"/>
        <w:jc w:val="left"/>
      </w:pPr>
      <w:r>
        <w:rPr/>
        <w:t xml:space="preserve">(3) Founded threats investigated under this section must be referred to local law enforcement for further action. Local law enforcement is authorized to report the outcome and any anticipated action to bailiffs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2023 c 26 s 1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 except as provided under RCW 13.50.260.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Criminal history record information that includes nonconviction data may be disseminated to the state auditor solely for the express purpose of conducting a process compliance audit procedure and review of any deadly force investigation pursuant to RCW 43.101.460. Dissemination or use of nonconviction data for purposes other than authorized in this subsection is prohibited.</w:t>
      </w:r>
    </w:p>
    <w:p>
      <w:pPr>
        <w:spacing w:before="0" w:after="0" w:line="408" w:lineRule="exact"/>
        <w:ind w:left="0" w:right="0" w:firstLine="576"/>
        <w:jc w:val="left"/>
      </w:pPr>
      <w:r>
        <w:rPr/>
        <w:t xml:space="preserve">(8) </w:t>
      </w:r>
      <w:r>
        <w:rPr>
          <w:u w:val="single"/>
        </w:rPr>
        <w:t xml:space="preserve">Criminal history record information that includes nonconviction data may be disseminated to bailiffs of the supreme court solely for the express purpose of investigations under section 1 of this act. Dissemination or use of nonconviction data for purposes other than authorized in this subsection is prohibited.</w:t>
      </w:r>
    </w:p>
    <w:p>
      <w:pPr>
        <w:spacing w:before="0" w:after="0" w:line="408" w:lineRule="exact"/>
        <w:ind w:left="0" w:right="0" w:firstLine="576"/>
        <w:jc w:val="left"/>
      </w:pPr>
      <w:r>
        <w:rPr>
          <w:u w:val="single"/>
        </w:rPr>
        <w:t xml:space="preserve">(9)</w:t>
      </w:r>
      <w:r>
        <w:rPr/>
        <w:t xml:space="preserve">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803fc42ef5fd428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8151fa45c4d81" /><Relationship Type="http://schemas.openxmlformats.org/officeDocument/2006/relationships/footer" Target="/word/footer1.xml" Id="R803fc42ef5fd428e" /></Relationships>
</file>