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c8b1a9449d46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6164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6164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6164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 Wagoner)</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emergency management plans; amending RCW 38.52.070; and adding a new section to chapter 70.136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2017 c 312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0" w:after="0" w:line="408" w:lineRule="exact"/>
        <w:ind w:left="0" w:right="0" w:firstLine="576"/>
        <w:jc w:val="left"/>
      </w:pPr>
      <w:r>
        <w:rPr/>
        <w:t xml:space="preserve">(3)(a)</w:t>
      </w:r>
      <w:r>
        <w:rPr>
          <w:u w:val="single"/>
        </w:rPr>
        <w:t xml:space="preserve">(i)</w:t>
      </w:r>
      <w:r>
        <w:rPr/>
        <w:t xml:space="preserve"> Each local organization or joint local organization for emergency management that produces a local comprehensive emergency management plan must include a communication plan for notifying significant population segments of life safety information during an emergency. Local organizations and joint local organizations are encouraged to consult with affected community organizations in the development of the communication plans. </w:t>
      </w:r>
      <w:r>
        <w:rPr>
          <w:u w:val="single"/>
        </w:rPr>
        <w:t xml:space="preserve">Communication plans must include an expeditious notification of citizens who can reasonably be determined to be at risk during a hazardous material spill or release pursuant to section 2 of this act.</w:t>
      </w:r>
    </w:p>
    <w:p>
      <w:pPr>
        <w:spacing w:before="0" w:after="0" w:line="408" w:lineRule="exact"/>
        <w:ind w:left="0" w:right="0" w:firstLine="576"/>
        <w:jc w:val="left"/>
      </w:pPr>
      <w:r>
        <w:t>((</w:t>
      </w:r>
      <w:r>
        <w:rPr>
          <w:strike/>
        </w:rPr>
        <w:t xml:space="preserve">(i)</w:t>
      </w:r>
      <w:r>
        <w:t>))</w:t>
      </w:r>
      <w:r>
        <w:rPr/>
        <w:t xml:space="preserve"> </w:t>
      </w:r>
      <w:r>
        <w:rPr>
          <w:u w:val="single"/>
        </w:rPr>
        <w:t xml:space="preserve">(ii)</w:t>
      </w:r>
      <w:r>
        <w:rPr/>
        <w:t xml:space="preserve"> In developing communication plans, local organizations and joint organizations should consider, as part of their determination of the extent of the obligation to provide emergency notification to significant population segments, the following factors: The number or proportion of the limited English proficiency persons eligible to be served or likely to be encountered; the frequency with which limited English proficiency individuals come in contact with the emergency notification; the nature and importance of the emergency notification, service, or program to people's lives; and the resources available to the political subdivision to provide emergency notifications.</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"Significant population segment" means, for the purposes of this subsection (3), each limited English proficiency language group that constitutes five percent or one thousand residents, whichever is less, of the population of persons eligible to be served or likely to be affected within a city, town, or county. The office of financial management forecasting division's limited English proficiency population estimates are the demographic data set for determining eligible limited English proficiency language groups.</w:t>
      </w:r>
    </w:p>
    <w:p>
      <w:pPr>
        <w:spacing w:before="0" w:after="0" w:line="408" w:lineRule="exact"/>
        <w:ind w:left="0" w:right="0" w:firstLine="576"/>
        <w:jc w:val="left"/>
      </w:pPr>
      <w:r>
        <w:rPr/>
        <w:t xml:space="preserve">(b) Local organizations and joint local organizations must submit the plans produced under (a) of this subsection to the Washington military department emergency management division, and must implement those plans. An initial communication plan must be submitted with the local organization or joint local organization's next local emergency management plan update following July 23, 2017, and subsequent plans must be reviewed in accordance with the director's schedule.</w:t>
      </w:r>
    </w:p>
    <w:p>
      <w:pPr>
        <w:spacing w:before="0" w:after="0" w:line="408" w:lineRule="exact"/>
        <w:ind w:left="0" w:right="0" w:firstLine="576"/>
        <w:jc w:val="left"/>
      </w:pPr>
      <w:r>
        <w:rPr/>
        <w:t xml:space="preserve">(4) When conducting emergency or disaster after-action reviews, local organizations and joint local organizations must evaluate the effectiveness of communication of life safety information and must inform the emergency management division of the Washington military department of technological challenges which limited communications efforts, along with identifying recommendations and resources needed to address those challenges.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136</w:t>
      </w:r>
      <w:r>
        <w:rPr/>
        <w:t xml:space="preserve"> RCW</w:t>
      </w:r>
      <w:r>
        <w:rPr/>
        <w:t xml:space="preserve"> to read as follows:</w:t>
      </w:r>
    </w:p>
    <w:p>
      <w:pPr>
        <w:spacing w:before="0" w:after="0" w:line="408" w:lineRule="exact"/>
        <w:ind w:left="0" w:right="0" w:firstLine="576"/>
        <w:jc w:val="left"/>
      </w:pPr>
      <w:r>
        <w:rPr/>
        <w:t xml:space="preserve">(1) If a type 1 or 2 hazardous material spill or release occurs, the department of ecology must provide for at least one public meeting to inform the public about the hazardous material spill or release.</w:t>
      </w:r>
    </w:p>
    <w:p>
      <w:pPr>
        <w:spacing w:before="0" w:after="0" w:line="408" w:lineRule="exact"/>
        <w:ind w:left="0" w:right="0" w:firstLine="576"/>
        <w:jc w:val="left"/>
      </w:pPr>
      <w:r>
        <w:rPr/>
        <w:t xml:space="preserve">(2) A public meeting conducted under this section must allow for remote participation if technologically feasible and may be held jointly with the county legislative authority's regularly scheduled meeting as described in RCW 36.32.080 or a special meeting as provided in RCW 42.30.080.</w:t>
      </w:r>
    </w:p>
    <w:p>
      <w:pPr>
        <w:spacing w:before="0" w:after="0" w:line="408" w:lineRule="exact"/>
        <w:ind w:left="0" w:right="0" w:firstLine="576"/>
        <w:jc w:val="left"/>
      </w:pPr>
      <w:r>
        <w:rPr/>
        <w:t xml:space="preserve">(3) A public meeting conducted under this section must include:</w:t>
      </w:r>
    </w:p>
    <w:p>
      <w:pPr>
        <w:spacing w:before="0" w:after="0" w:line="408" w:lineRule="exact"/>
        <w:ind w:left="0" w:right="0" w:firstLine="576"/>
        <w:jc w:val="left"/>
      </w:pPr>
      <w:r>
        <w:rPr/>
        <w:t xml:space="preserve">(a) A representative from the department of ecology;</w:t>
      </w:r>
    </w:p>
    <w:p>
      <w:pPr>
        <w:spacing w:before="0" w:after="0" w:line="408" w:lineRule="exact"/>
        <w:ind w:left="0" w:right="0" w:firstLine="576"/>
        <w:jc w:val="left"/>
      </w:pPr>
      <w:r>
        <w:rPr/>
        <w:t xml:space="preserve">(b) A representative from the local organization for emergency services or management, as defined in RCW 38.52.010, in the jurisdiction where the spill or release occurred; and</w:t>
      </w:r>
    </w:p>
    <w:p>
      <w:pPr>
        <w:spacing w:before="0" w:after="0" w:line="408" w:lineRule="exact"/>
        <w:ind w:left="0" w:right="0" w:firstLine="576"/>
        <w:jc w:val="left"/>
      </w:pPr>
      <w:r>
        <w:rPr/>
        <w:t xml:space="preserve">(c) A representative for the party responsible for the hazardous material spill or release.</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 "type 1 hazardous material spill or release" is a spill or release of national significance, requiring the activation of the department of ecology's crisis management team, incident management team, command, and general staff; involvement of the governor's office and federal agency officials; establishment of area command; and active involvement of the department of ecology spills program manager. It may require the establishment of a national incident commander.</w:t>
      </w:r>
    </w:p>
    <w:p>
      <w:pPr>
        <w:spacing w:before="0" w:after="0" w:line="408" w:lineRule="exact"/>
        <w:ind w:left="0" w:right="0" w:firstLine="576"/>
        <w:jc w:val="left"/>
      </w:pPr>
      <w:r>
        <w:rPr/>
        <w:t xml:space="preserve">(b) A "type 2 hazardous material spill or release" is a large or major incident of long duration, requiring the activation of the department of ecology's crisis management team, incident management team, unified command at an appropriate command post, and most or all of the command and general staff positions. It may require other incident management teams, such as industry, federal, or local; cascading of resources from other states; and establishment of area command. The incident will go into multiple operational periods, and requires significant product spilled and numerous sensitive sites threatened. A written incident action plan will be required for each operational period.</w:t>
      </w:r>
    </w:p>
    <w:p/>
    <w:p>
      <w:pPr>
        <w:jc w:val="center"/>
      </w:pPr>
      <w:r>
        <w:rPr>
          <w:b/>
        </w:rPr>
        <w:t>--- END ---</w:t>
      </w:r>
    </w:p>
    <w:sectPr>
      <w:pgNumType w:start="1"/>
      <w:footerReference xmlns:r="http://schemas.openxmlformats.org/officeDocument/2006/relationships" r:id="R8ade12f82ee34e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299eb0e60543da" /><Relationship Type="http://schemas.openxmlformats.org/officeDocument/2006/relationships/footer" Target="/word/footer1.xml" Id="R8ade12f82ee34e31" /></Relationships>
</file>