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34ac39dae043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6127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6127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Liias, Rivers, Muzzall, Randall, Frame, Hasegawa, Kuderer, Lovick, Nobles, and Pedersen)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human immunodeficiency virus postexposure prophylaxis drugs or therapies; amending RCW 70.41.480; reenacting and amending RCW 41.05.017; adding a new section to chapter 70.41 RCW; adding a new section to chapter 48.43 RCW; adding a new section to chapter 74.09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hospital must adopt a policy and have procedures in place, that conform with the guidelines issued by the centers for disease control and prevention, for the dispensing of human immunodeficiency virus postexposure prophylaxis drugs or therapies.</w:t>
      </w:r>
    </w:p>
    <w:p>
      <w:pPr>
        <w:spacing w:before="0" w:after="0" w:line="408" w:lineRule="exact"/>
        <w:ind w:left="0" w:right="0" w:firstLine="576"/>
        <w:jc w:val="left"/>
      </w:pPr>
      <w:r>
        <w:rPr/>
        <w:t xml:space="preserve">(2) This policy must ensure that hospital staff dispense or deliver as defined in RCW 18.64.011 to a patient, with a patient's informed consent, a 28-day supply of human immunodeficiency virus postexposure prophylaxis drugs or therapies following the patient's possible exposure to human immunodeficiency virus, unless medically contraindicated, inconsistent with accepted standards of care, or inconsistent with centers for disease control and prevention guidelines. When available, hospitals shall dispense or deliver generic human immunodeficiency virus postexposure prophylaxis drugs or therapies.</w:t>
      </w:r>
    </w:p>
    <w:p>
      <w:pPr>
        <w:spacing w:before="0" w:after="0" w:line="408" w:lineRule="exact"/>
        <w:ind w:left="0" w:right="0" w:firstLine="576"/>
        <w:jc w:val="left"/>
      </w:pPr>
      <w:r>
        <w:rPr/>
        <w:t xml:space="preserve">(3) Nothing in this section shall be construed to alter the coverage for reimbursement of postexposure prophylaxis drugs through:</w:t>
      </w:r>
    </w:p>
    <w:p>
      <w:pPr>
        <w:spacing w:before="0" w:after="0" w:line="408" w:lineRule="exact"/>
        <w:ind w:left="0" w:right="0" w:firstLine="576"/>
        <w:jc w:val="left"/>
      </w:pPr>
      <w:r>
        <w:rPr/>
        <w:t xml:space="preserve">(a) The crime victims' compensation program, established in chapter 7.68 RCW, for drugs dispensed or delivered to sexual assault victims; or </w:t>
      </w:r>
    </w:p>
    <w:p>
      <w:pPr>
        <w:spacing w:before="0" w:after="0" w:line="408" w:lineRule="exact"/>
        <w:ind w:left="0" w:right="0" w:firstLine="576"/>
        <w:jc w:val="left"/>
      </w:pPr>
      <w:r>
        <w:rPr/>
        <w:t xml:space="preserve">(b) The industrial insurance act for drugs dispensed or delivered to a worker exposed to the human immunodeficiency virus through the course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2022 c 25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15 miles by road; </w:t>
      </w:r>
      <w:r>
        <w:t>((</w:t>
      </w:r>
      <w:r>
        <w:rPr>
          <w:strike/>
        </w:rPr>
        <w:t xml:space="preserve">or</w:t>
      </w:r>
      <w:r>
        <w:t>))</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a patient is identified as needing human immunodeficiency virus postexposure prophylaxis drugs or therapies</w:t>
      </w:r>
      <w:r>
        <w:rPr/>
        <w:t xml:space="preserve">.</w:t>
      </w:r>
    </w:p>
    <w:p>
      <w:pPr>
        <w:spacing w:before="0" w:after="0" w:line="408" w:lineRule="exact"/>
        <w:ind w:left="0" w:right="0" w:firstLine="576"/>
        <w:jc w:val="left"/>
      </w:pPr>
      <w:r>
        <w:rPr/>
        <w:t xml:space="preserve">(3)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48 hour supply of emergency medication as the maximum to be dispensed to a patient, except when community or hospital pharmacy services will not be available within 48 hours</w:t>
      </w:r>
      <w:r>
        <w:t>((</w:t>
      </w:r>
      <w:r>
        <w:rPr>
          <w:strike/>
        </w:rPr>
        <w:t xml:space="preserve">. In no case may the policy allow a supply exceeding 96 hours be dispensed</w:t>
      </w:r>
      <w:r>
        <w:t>))</w:t>
      </w:r>
      <w:r>
        <w:rPr>
          <w:u w:val="single"/>
        </w:rPr>
        <w:t xml:space="preserve">, or when antibiotics or human immunodeficiency virus postexposure prophylaxis drugs or therapies are required</w:t>
      </w:r>
      <w:r>
        <w:rPr/>
        <w:t xml:space="preserve">;</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A practitioner or a nurse in a hospital emergency department must dispense or distribute opioid overdose reversal medication in compliance with RCW 70.41.485.</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"Opioid overdose reversal medication" has the same meaning as provided in RCW 69.41.095.</w:t>
      </w:r>
    </w:p>
    <w:p>
      <w:pPr>
        <w:spacing w:before="0" w:after="0" w:line="408" w:lineRule="exact"/>
        <w:ind w:left="0" w:right="0" w:firstLine="576"/>
        <w:jc w:val="left"/>
      </w:pPr>
      <w:r>
        <w:rPr/>
        <w:t xml:space="preserve">(d) "Practitioner" means any person duly authorized by law or rule in the state of Washington to prescribe drugs as defined in RCW 18.64.011(29).</w:t>
      </w:r>
    </w:p>
    <w:p>
      <w:pPr>
        <w:spacing w:before="0" w:after="0" w:line="408" w:lineRule="exact"/>
        <w:ind w:left="0" w:right="0" w:firstLine="576"/>
        <w:jc w:val="left"/>
      </w:pPr>
      <w:r>
        <w:rPr/>
        <w:t xml:space="preserve">(e) "Nurse" means a registered nurse or licensed practical nurse as defined in chapter 18.79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w:t>
      </w:r>
    </w:p>
    <w:p>
      <w:pPr>
        <w:spacing w:before="0" w:after="0" w:line="408" w:lineRule="exact"/>
        <w:ind w:left="0" w:right="0" w:firstLine="576"/>
        <w:jc w:val="left"/>
      </w:pPr>
      <w:r>
        <w:rPr/>
        <w:t xml:space="preserve">(2) For 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p>
      <w:pPr>
        <w:spacing w:before="0" w:after="0" w:line="408" w:lineRule="exact"/>
        <w:ind w:left="0" w:right="0" w:firstLine="576"/>
        <w:jc w:val="left"/>
      </w:pPr>
      <w:r>
        <w:rPr/>
        <w:t xml:space="preserve">(3) Notwithstanding the coverage requirements of this section, a health plan shall reimburse a hospital that bills for a 28-day supply of any human immunodeficiency virus postexposure prophylaxis drugs or therapies dispensed or delivered to a patient in the emergency department for take-home use, pursuant to section 1 of this act, as a separate reimbursable expense. This reimbursable expense is separate from any bundled payment for emergency department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and all medicaid contracted managed care organizations shall provide coverage without prior authorization for the drugs that comprise at least one regimen recommended by the centers for disease control and prevention for human immunodeficiency virus postexposure prophylaxis.</w:t>
      </w:r>
    </w:p>
    <w:p>
      <w:pPr>
        <w:spacing w:before="0" w:after="0" w:line="408" w:lineRule="exact"/>
        <w:ind w:left="0" w:right="0" w:firstLine="576"/>
        <w:jc w:val="left"/>
      </w:pPr>
      <w:r>
        <w:rPr/>
        <w:t xml:space="preserve">(2) Notwithstanding the coverage requirements of this section, the authority or a medicaid contracted managed care organization shall reimburse a hospital that bills for a 28-day supply of any human immunodeficiency virus postexposure prophylaxis drugs or therapies dispensed or delivered to a patient in the emergency department for take-home use, pursuant to section 1 of this act, as a separate reimbursable expense. This reimbursable expense is separate from any bundled payment for emergency department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and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 3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38a17c6a266845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7296948e9646a9" /><Relationship Type="http://schemas.openxmlformats.org/officeDocument/2006/relationships/footer" Target="/word/footer1.xml" Id="R38a17c6a26684591" /></Relationships>
</file>