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bd38f060341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6060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6060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Nguyen, Hasegawa, Keiser, Saldaña,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electronic signatures by the public employment relations commission for new organizing petitions; amending RCW 41.56.060;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any new organizing petition to form a new bargaining unit of currently unrepresented workers or to add unrepresented workers to an existing bargaining unit, regardless of whether the election is by mail ballot or cross-check, the public employment relations commission must accept electronic signatures, subject to the requirements set forth in this section and by rules adopted by the commission.</w:t>
      </w:r>
    </w:p>
    <w:p>
      <w:pPr>
        <w:spacing w:before="0" w:after="0" w:line="408" w:lineRule="exact"/>
        <w:ind w:left="0" w:right="0" w:firstLine="576"/>
        <w:jc w:val="left"/>
      </w:pPr>
      <w:r>
        <w:rPr/>
        <w:t xml:space="preserve">(2) At a minimum, electronic signature submissions must include:</w:t>
      </w:r>
    </w:p>
    <w:p>
      <w:pPr>
        <w:spacing w:before="0" w:after="0" w:line="408" w:lineRule="exact"/>
        <w:ind w:left="0" w:right="0" w:firstLine="576"/>
        <w:jc w:val="left"/>
      </w:pPr>
      <w:r>
        <w:rPr/>
        <w:t xml:space="preserve">(a) The name of the signer;</w:t>
      </w:r>
    </w:p>
    <w:p>
      <w:pPr>
        <w:spacing w:before="0" w:after="0" w:line="408" w:lineRule="exact"/>
        <w:ind w:left="0" w:right="0" w:firstLine="576"/>
        <w:jc w:val="left"/>
      </w:pPr>
      <w:r>
        <w:rPr/>
        <w:t xml:space="preserve">(b) The phone number, email address, or social media account of the signer;</w:t>
      </w:r>
    </w:p>
    <w:p>
      <w:pPr>
        <w:spacing w:before="0" w:after="0" w:line="408" w:lineRule="exact"/>
        <w:ind w:left="0" w:right="0" w:firstLine="576"/>
        <w:jc w:val="left"/>
      </w:pPr>
      <w:r>
        <w:rPr/>
        <w:t xml:space="preserve">(c) The exact authorization language to which the signer assents;</w:t>
      </w:r>
    </w:p>
    <w:p>
      <w:pPr>
        <w:spacing w:before="0" w:after="0" w:line="408" w:lineRule="exact"/>
        <w:ind w:left="0" w:right="0" w:firstLine="576"/>
        <w:jc w:val="left"/>
      </w:pPr>
      <w:r>
        <w:rPr/>
        <w:t xml:space="preserve">(d) The date of submission of the electronic signature; and</w:t>
      </w:r>
    </w:p>
    <w:p>
      <w:pPr>
        <w:spacing w:before="0" w:after="0" w:line="408" w:lineRule="exact"/>
        <w:ind w:left="0" w:right="0" w:firstLine="576"/>
        <w:jc w:val="left"/>
      </w:pPr>
      <w:r>
        <w:rPr/>
        <w:t xml:space="preserve">(e) The name of the signer's employer.</w:t>
      </w:r>
    </w:p>
    <w:p>
      <w:pPr>
        <w:spacing w:before="0" w:after="0" w:line="408" w:lineRule="exact"/>
        <w:ind w:left="0" w:right="0" w:firstLine="576"/>
        <w:jc w:val="left"/>
      </w:pPr>
      <w:r>
        <w:rPr/>
        <w:t xml:space="preserve">(3) The petitioning party must provide a declaration that:</w:t>
      </w:r>
    </w:p>
    <w:p>
      <w:pPr>
        <w:spacing w:before="0" w:after="0" w:line="408" w:lineRule="exact"/>
        <w:ind w:left="0" w:right="0" w:firstLine="576"/>
        <w:jc w:val="left"/>
      </w:pPr>
      <w:r>
        <w:rPr/>
        <w:t xml:space="preserve">(a) Identifies the technology used to obtain and verify the signature;</w:t>
      </w:r>
    </w:p>
    <w:p>
      <w:pPr>
        <w:spacing w:before="0" w:after="0" w:line="408" w:lineRule="exact"/>
        <w:ind w:left="0" w:right="0" w:firstLine="576"/>
        <w:jc w:val="left"/>
      </w:pPr>
      <w:r>
        <w:rPr/>
        <w:t xml:space="preserve">(b) Provides the methods used to ensure the authenticity of the signature; and</w:t>
      </w:r>
    </w:p>
    <w:p>
      <w:pPr>
        <w:spacing w:before="0" w:after="0" w:line="408" w:lineRule="exact"/>
        <w:ind w:left="0" w:right="0" w:firstLine="576"/>
        <w:jc w:val="left"/>
      </w:pPr>
      <w:r>
        <w:rPr/>
        <w:t xml:space="preserve">(c) Confirms the information transmitted to the signer was the same information to which the signer assented.</w:t>
      </w:r>
    </w:p>
    <w:p>
      <w:pPr>
        <w:spacing w:before="0" w:after="0" w:line="408" w:lineRule="exact"/>
        <w:ind w:left="0" w:right="0" w:firstLine="576"/>
        <w:jc w:val="left"/>
      </w:pPr>
      <w:r>
        <w:rPr/>
        <w:t xml:space="preserve">(4) The public employment relations commission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2019 c 230 s 7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w:t>
      </w:r>
      <w:r>
        <w:rPr>
          <w:u w:val="single"/>
        </w:rPr>
        <w:t xml:space="preserve">or</w:t>
      </w:r>
      <w:r>
        <w:rPr/>
        <w:t xml:space="preserve"> (b) </w:t>
      </w:r>
      <w:r>
        <w:t>((</w:t>
      </w:r>
      <w:r>
        <w:rPr>
          <w:strike/>
        </w:rPr>
        <w:t xml:space="preserve">comparison of signatures on organization bargaining authorization cards, as provided under RCW 41.56.095; or (c)</w:t>
      </w:r>
      <w:r>
        <w:t>))</w:t>
      </w:r>
      <w:r>
        <w:rPr/>
        <w:t xml:space="preserve"> conducting an election </w:t>
      </w:r>
      <w:r>
        <w:t>((</w:t>
      </w:r>
      <w:r>
        <w:rPr>
          <w:strike/>
        </w:rPr>
        <w:t xml:space="preserve">specifically therefor</w:t>
      </w:r>
      <w:r>
        <w:t>))</w:t>
      </w:r>
      <w:r>
        <w:rPr/>
        <w:t xml:space="preserve"> </w:t>
      </w:r>
      <w:r>
        <w:rPr>
          <w:u w:val="single"/>
        </w:rPr>
        <w:t xml:space="preserve">as provided under RCW 41.56.070 or 41.56.095</w:t>
      </w:r>
      <w:r>
        <w:rPr/>
        <w:t xml:space="preserve">.</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
      <w:pPr>
        <w:jc w:val="center"/>
      </w:pPr>
      <w:r>
        <w:rPr>
          <w:b/>
        </w:rPr>
        <w:t>--- END ---</w:t>
      </w:r>
    </w:p>
    <w:sectPr>
      <w:pgNumType w:start="1"/>
      <w:footerReference xmlns:r="http://schemas.openxmlformats.org/officeDocument/2006/relationships" r:id="Rc5c8dbf875d846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db5b61fe304309" /><Relationship Type="http://schemas.openxmlformats.org/officeDocument/2006/relationships/footer" Target="/word/footer1.xml" Id="Rc5c8dbf875d8463a" /></Relationships>
</file>