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9dd4ad2b64d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Hunt</w:t>
      </w:r>
    </w:p>
    <w:p/>
    <w:p>
      <w:r>
        <w:rPr>
          <w:t xml:space="preserve">Prefiled 01/04/24.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number of county commissioner members on local boards of health for nonhome rule charter counties with five county commissioners; and amending RCW 70.05.030.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2021 c 205 s 3 are each amended to read as follows:</w:t>
      </w:r>
    </w:p>
    <w:p>
      <w:pPr>
        <w:spacing w:before="0" w:after="0" w:line="408" w:lineRule="exact"/>
        <w:ind w:left="0" w:right="0" w:firstLine="576"/>
        <w:jc w:val="left"/>
      </w:pPr>
      <w:r>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w:t>
      </w:r>
      <w:r>
        <w:rPr>
          <w:u w:val="single"/>
        </w:rPr>
        <w:t xml:space="preserve">For counties without a home rule charter where the board of county commissioners is comprised of five commissioners, the board of county commissioners may adopt an ordinance reducing the number of county commissioners that are members of the local board of health, provided that the board of health includes at least one county commissioner.</w:t>
      </w:r>
      <w:r>
        <w:rPr/>
        <w:t xml:space="preserve"> The jurisdiction of the local board of health shall be coextensive with the boundaries of the county.</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registered nurse practitioners;</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
      <w:pPr>
        <w:jc w:val="center"/>
      </w:pPr>
      <w:r>
        <w:rPr>
          <w:b/>
        </w:rPr>
        <w:t>--- END ---</w:t>
      </w:r>
    </w:p>
    <w:sectPr>
      <w:pgNumType w:start="1"/>
      <w:footerReference xmlns:r="http://schemas.openxmlformats.org/officeDocument/2006/relationships" r:id="Rc7783553a5e34a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302fa051c4971" /><Relationship Type="http://schemas.openxmlformats.org/officeDocument/2006/relationships/footer" Target="/word/footer1.xml" Id="Rc7783553a5e34ab7" /></Relationships>
</file>