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af3ff3af31436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5399</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18,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2023</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5399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5399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Business, Financial Services, Gaming &amp; Trade (originally sponsored by Senators Mullet and Dozier)</w:t>
      </w:r>
    </w:p>
    <w:p/>
    <w:p>
      <w:r>
        <w:rPr>
          <w:t xml:space="preserve">READ FIRST TIME 02/10/23.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future listing right purchase contracts; adding a new chapter to Title 61 RCW; creating a new section;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future listing right purchase contract shall exceed five years duration and may not be renewed or extended. A future listing right purchase contract:</w:t>
      </w:r>
    </w:p>
    <w:p>
      <w:pPr>
        <w:spacing w:before="0" w:after="0" w:line="408" w:lineRule="exact"/>
        <w:ind w:left="0" w:right="0" w:firstLine="576"/>
        <w:jc w:val="left"/>
      </w:pPr>
      <w:r>
        <w:rPr/>
        <w:t xml:space="preserve">(a) Shall not be used as a lien against the real property;</w:t>
      </w:r>
    </w:p>
    <w:p>
      <w:pPr>
        <w:spacing w:before="0" w:after="0" w:line="408" w:lineRule="exact"/>
        <w:ind w:left="0" w:right="0" w:firstLine="576"/>
        <w:jc w:val="left"/>
      </w:pPr>
      <w:r>
        <w:rPr/>
        <w:t xml:space="preserve">(b) Shall not run with title to real property and is not binding or enforceable at law or in equity against any subsequent owner, purchaser, or mortgagee or holder of any interest in real property as an equitable servitude;</w:t>
      </w:r>
    </w:p>
    <w:p>
      <w:pPr>
        <w:spacing w:before="0" w:after="0" w:line="408" w:lineRule="exact"/>
        <w:ind w:left="0" w:right="0" w:firstLine="576"/>
        <w:jc w:val="left"/>
      </w:pPr>
      <w:r>
        <w:rPr/>
        <w:t xml:space="preserve">(c) May be canceled by the owner without penalty or further obligation within 10 business days after execution of the contract by owner sending notice of cancellation to the other party by mail, telegram, or other means of written communication along with the full amount of any consideration paid to the owner. Notice of cancellation is considered given when mailed, when filed for telegraphic transmission, or, if sent by other means, when delivered to the other party's designated place of business. Such cancellation right shall be set forth clearly in bold type font in the future listing right purchase contract;</w:t>
      </w:r>
    </w:p>
    <w:p>
      <w:pPr>
        <w:spacing w:before="0" w:after="0" w:line="408" w:lineRule="exact"/>
        <w:ind w:left="0" w:right="0" w:firstLine="576"/>
        <w:jc w:val="left"/>
      </w:pPr>
      <w:r>
        <w:rPr/>
        <w:t xml:space="preserve">(d) Shall set forth clearly in bold type font that the owner may not be compelled to list the owner's property.</w:t>
      </w:r>
    </w:p>
    <w:p>
      <w:pPr>
        <w:spacing w:before="0" w:after="0" w:line="408" w:lineRule="exact"/>
        <w:ind w:left="0" w:right="0" w:firstLine="576"/>
        <w:jc w:val="left"/>
      </w:pPr>
      <w:r>
        <w:rPr/>
        <w:t xml:space="preserve">(2) The attorney general may bring actions to enforce compliance with this section. The legislature finds that the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(3) For the purposes of this section, a "future listing right purchase contract" means a contract granting an exclusive right to list residential real estate for sale in the future and includes, but is not limited to, any document recorded in the county where the real estate is located relating to the contract including the contract itself, a memorandum concerning the contract, or a deed of trust to secure the terms of the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real estate commission established under chapter 18.85 RCW shall convene a work group to examine practices used by real estate brokerage companies to market, establish, and enforce future listing right purchase contracts in order to provide recommendations for consumer protections and potential regulations, including potential licensing requirements. The work group shall be staffed by the department of licensing and include representatives from associations that represent real estate brokers, real estate brokerage companies who offer future listing right purchase contracts, and other entities that the Washington real estate commission deems appropriate. The commission shall report back to the appropriate committees of the legislature in accordance with RCW 43.01.036 by December 1, 2024, with the work group's findings and recommendations.</w:t>
      </w:r>
    </w:p>
    <w:p>
      <w:pPr>
        <w:spacing w:before="0" w:after="0" w:line="408" w:lineRule="exact"/>
        <w:ind w:left="0" w:right="0" w:firstLine="576"/>
        <w:jc w:val="left"/>
      </w:pPr>
      <w:r>
        <w:rPr/>
        <w:t xml:space="preserve">(2) This section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constitutes a new chapter in </w:t>
      </w:r>
      <w:r>
        <w:rPr/>
        <w:t xml:space="preserve">Title </w:t>
      </w:r>
      <w:r>
        <w:t xml:space="preserve">61</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03f9023685764c2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5399.PL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730fb23b464380" /><Relationship Type="http://schemas.openxmlformats.org/officeDocument/2006/relationships/footer" Target="/word/footer1.xml" Id="R03f9023685764c25" /></Relationships>
</file>