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fe1c8f446c47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5394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22,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5394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5394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Randall, Dhingra, Keiser, Nguyen, Stanford, Valdez, and C. Wilson</w:t>
      </w:r>
    </w:p>
    <w:p/>
    <w:p>
      <w:r>
        <w:rPr>
          <w:t xml:space="preserve">Read first time 01/16/23.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malpractice insurance for international medical graduate supervisors;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2021 c 204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the secretary of children, youth, and families, or the secretary of corrections, issue a limited license to practice medicine in this state to persons who have been accepted for employment by the department of social and health services, the department of children, youth, and families,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the department of children, youth, and families,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an accredited school of medicine in the state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The holder of a teaching research license under this subsection (4)(a) is eligible for full licensure if the following conditions are met:</w:t>
      </w:r>
    </w:p>
    <w:p>
      <w:pPr>
        <w:spacing w:before="0" w:after="0" w:line="408" w:lineRule="exact"/>
        <w:ind w:left="0" w:right="0" w:firstLine="576"/>
        <w:jc w:val="left"/>
      </w:pPr>
      <w:r>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t xml:space="preserve">(ii) The applicant has successfully completed the exam requirements set forth by the commission by rule;</w:t>
      </w:r>
    </w:p>
    <w:p>
      <w:pPr>
        <w:spacing w:before="0" w:after="0" w:line="408" w:lineRule="exact"/>
        <w:ind w:left="0" w:right="0" w:firstLine="576"/>
        <w:jc w:val="left"/>
      </w:pPr>
      <w:r>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an accredited school of medicine in the state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0" w:after="0" w:line="408" w:lineRule="exact"/>
        <w:ind w:left="0" w:right="0" w:firstLine="576"/>
        <w:jc w:val="left"/>
      </w:pPr>
      <w:r>
        <w:rPr/>
        <w:t xml:space="preserve">(5) The commission may issue a time-limited clinical experience license to an applicant who does not qualify for licensure under RCW 18.71.050 or chapter 18.71B RCW and who meets the requirements established by the commission in rule for the purpose of gaining clinical experience at an approved facility or program.</w:t>
      </w:r>
    </w:p>
    <w:p>
      <w:pPr>
        <w:spacing w:before="0" w:after="0" w:line="408" w:lineRule="exact"/>
        <w:ind w:left="0" w:right="0" w:firstLine="576"/>
        <w:jc w:val="left"/>
      </w:pPr>
      <w:r>
        <w:rPr/>
        <w:t xml:space="preserve">(6)(a) Upon nomination by the chief medical officer of any hospital, appropriate medical practice located in the state of Washington, the department of social and health services, the department of children, youth, and families, the department of corrections, or a county or city health department, the commission may issue a limited license to an international medical graduate if the applicant:</w:t>
      </w:r>
    </w:p>
    <w:p>
      <w:pPr>
        <w:spacing w:before="0" w:after="0" w:line="408" w:lineRule="exact"/>
        <w:ind w:left="0" w:right="0" w:firstLine="576"/>
        <w:jc w:val="left"/>
      </w:pPr>
      <w:r>
        <w:rPr/>
        <w:t xml:space="preserve">(i) Has been a Washington state resident for at least one year;</w:t>
      </w:r>
    </w:p>
    <w:p>
      <w:pPr>
        <w:spacing w:before="0" w:after="0" w:line="408" w:lineRule="exact"/>
        <w:ind w:left="0" w:right="0" w:firstLine="576"/>
        <w:jc w:val="left"/>
      </w:pPr>
      <w:r>
        <w:rPr/>
        <w:t xml:space="preserve">(ii) Provides proof the applicant is certified by the educational commission for foreign medical graduates;</w:t>
      </w:r>
    </w:p>
    <w:p>
      <w:pPr>
        <w:spacing w:before="0" w:after="0" w:line="408" w:lineRule="exact"/>
        <w:ind w:left="0" w:right="0" w:firstLine="576"/>
        <w:jc w:val="left"/>
      </w:pPr>
      <w:r>
        <w:rPr/>
        <w:t xml:space="preserve">(iii) Has passed all steps of the United States medical licensing examination; and</w:t>
      </w:r>
    </w:p>
    <w:p>
      <w:pPr>
        <w:spacing w:before="0" w:after="0" w:line="408" w:lineRule="exact"/>
        <w:ind w:left="0" w:right="0" w:firstLine="576"/>
        <w:jc w:val="left"/>
      </w:pPr>
      <w:r>
        <w:rPr/>
        <w:t xml:space="preserve">(iv) Submits to the commission background check process required of applicants generally.</w:t>
      </w:r>
    </w:p>
    <w:p>
      <w:pPr>
        <w:spacing w:before="0" w:after="0" w:line="408" w:lineRule="exact"/>
        <w:ind w:left="0" w:right="0" w:firstLine="576"/>
        <w:jc w:val="left"/>
      </w:pPr>
      <w:r>
        <w:rPr/>
        <w:t xml:space="preserve">(b) A license holder under this subsection may only practice:</w:t>
      </w:r>
    </w:p>
    <w:p>
      <w:pPr>
        <w:spacing w:before="0" w:after="0" w:line="408" w:lineRule="exact"/>
        <w:ind w:left="0" w:right="0" w:firstLine="576"/>
        <w:jc w:val="left"/>
      </w:pPr>
      <w:r>
        <w:rPr/>
        <w:t xml:space="preserve">(i) Under the supervision and control of a physician who is licensed in this state under </w:t>
      </w:r>
      <w:r>
        <w:rPr>
          <w:u w:val="single"/>
        </w:rPr>
        <w:t xml:space="preserve">this</w:t>
      </w:r>
      <w:r>
        <w:rPr/>
        <w:t xml:space="preserve"> chapter </w:t>
      </w:r>
      <w:r>
        <w:t>((</w:t>
      </w:r>
      <w:r>
        <w:rPr>
          <w:strike/>
        </w:rPr>
        <w:t xml:space="preserve">18.71</w:t>
      </w:r>
      <w:r>
        <w:t>))</w:t>
      </w:r>
      <w:r>
        <w:rPr/>
        <w:t xml:space="preserve"> or </w:t>
      </w:r>
      <w:r>
        <w:rPr>
          <w:u w:val="single"/>
        </w:rPr>
        <w:t xml:space="preserve">chapter</w:t>
      </w:r>
      <w:r>
        <w:rPr/>
        <w:t xml:space="preserve"> 18.57 RCW and is of the same or substantially similar clinical specialty; and</w:t>
      </w:r>
    </w:p>
    <w:p>
      <w:pPr>
        <w:spacing w:before="0" w:after="0" w:line="408" w:lineRule="exact"/>
        <w:ind w:left="0" w:right="0" w:firstLine="576"/>
        <w:jc w:val="left"/>
      </w:pPr>
      <w:r>
        <w:rPr/>
        <w:t xml:space="preserve">(ii) Within the nominating facility or organization.</w:t>
      </w:r>
    </w:p>
    <w:p>
      <w:pPr>
        <w:spacing w:before="0" w:after="0" w:line="408" w:lineRule="exact"/>
        <w:ind w:left="0" w:right="0" w:firstLine="576"/>
        <w:jc w:val="left"/>
      </w:pPr>
      <w:r>
        <w:rPr/>
        <w:t xml:space="preserve">(c) A license holder must file with the commission a practice agreement between the license holder and the supervising physician who is of the same or substantially similar clinical specialty.</w:t>
      </w:r>
    </w:p>
    <w:p>
      <w:pPr>
        <w:spacing w:before="0" w:after="0" w:line="408" w:lineRule="exact"/>
        <w:ind w:left="0" w:right="0" w:firstLine="576"/>
        <w:jc w:val="left"/>
      </w:pPr>
      <w:r>
        <w:rPr/>
        <w:t xml:space="preserve">(d) A supervising physician may supervise no more than two license holders under this subsection unless the commission grants a request to increase this limit.</w:t>
      </w:r>
    </w:p>
    <w:p>
      <w:pPr>
        <w:spacing w:before="0" w:after="0" w:line="408" w:lineRule="exact"/>
        <w:ind w:left="0" w:right="0" w:firstLine="576"/>
        <w:jc w:val="left"/>
      </w:pPr>
      <w:r>
        <w:rPr/>
        <w:t xml:space="preserve">(e) A limited license issued under this subsection is valid for two years and may be renewed once by the commission upon application for renewal by the nominating entity.</w:t>
      </w:r>
    </w:p>
    <w:p>
      <w:pPr>
        <w:spacing w:before="0" w:after="0" w:line="408" w:lineRule="exact"/>
        <w:ind w:left="0" w:right="0" w:firstLine="576"/>
        <w:jc w:val="left"/>
      </w:pPr>
      <w:r>
        <w:rPr/>
        <w:t xml:space="preserve">(f) All persons licensed under this subsection are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(g) Persons applying for licensure and renewing licenses under this subsection shall comply with administrative procedures, administrative requirements, and fees determined as provided in RCW 43.70.250 and 43.70.280.</w:t>
      </w:r>
    </w:p>
    <w:p>
      <w:pPr>
        <w:spacing w:before="0" w:after="0" w:line="408" w:lineRule="exact"/>
        <w:ind w:left="0" w:right="0" w:firstLine="576"/>
        <w:jc w:val="left"/>
      </w:pPr>
      <w:r>
        <w:rPr/>
        <w:t xml:space="preserve">(h) The supervising physician shall retain professional and personal responsibility for any act which constitutes the practice of medicine as defined in RCW 18.71.011 or the practice of osteopathic medicine and surgery as defined in RCW 18.57.001 when performed by an international medical graduate practicing under their supervision. </w:t>
      </w:r>
      <w:r>
        <w:t>((</w:t>
      </w:r>
      <w:r>
        <w:rPr>
          <w:strike/>
        </w:rPr>
        <w:t xml:space="preserve">The supervising physician must hold medical malpractice insurance for any malpractice claim against an international medical graduate practicing under their supervision.</w:t>
      </w:r>
      <w:r>
        <w:t>))</w:t>
      </w:r>
    </w:p>
    <w:p/>
    <w:p>
      <w:pPr>
        <w:jc w:val="center"/>
      </w:pPr>
      <w:r>
        <w:rPr>
          <w:b/>
        </w:rPr>
        <w:t>--- END ---</w:t>
      </w:r>
    </w:p>
    <w:sectPr>
      <w:pgNumType w:start="1"/>
      <w:footerReference xmlns:r="http://schemas.openxmlformats.org/officeDocument/2006/relationships" r:id="R77019dfa951e45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229460df72414d" /><Relationship Type="http://schemas.openxmlformats.org/officeDocument/2006/relationships/footer" Target="/word/footer1.xml" Id="R77019dfa951e4581" /></Relationships>
</file>