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f7452d29c64e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5218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5218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5218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Padden, Mullet, and Torres)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mobility enhancing equipment for use by or for a complex needs patient;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sale of mobility enhancing equipment for use by or for a complex needs patient to meet the user's specific and unique medical, physical, and functional needs and capacities for basic activities when medically necessary to prevent hospitalization or institutionalization of the complex needs patient.</w:t>
      </w:r>
    </w:p>
    <w:p>
      <w:pPr>
        <w:spacing w:before="0" w:after="0" w:line="408" w:lineRule="exact"/>
        <w:ind w:left="0" w:right="0" w:firstLine="576"/>
        <w:jc w:val="left"/>
      </w:pPr>
      <w:r>
        <w:rPr/>
        <w:t xml:space="preserve">(2) In order to claim an exemption under this section, the purchaser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 "complex needs patient" has the same meaning as in RCW 74.09.557.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This chapter does not apply to the use of mobility enhancing equipment for use by or for a complex needs patient to meet the user's specific and unique medical, physical, and functional needs and capacities for basic activities when medically necessary to prevent hospitalization or institutionalization of the complex needs patient.</w:t>
      </w:r>
    </w:p>
    <w:p>
      <w:pPr>
        <w:spacing w:before="0" w:after="0" w:line="408" w:lineRule="exact"/>
        <w:ind w:left="0" w:right="0" w:firstLine="576"/>
        <w:jc w:val="left"/>
      </w:pPr>
      <w:r>
        <w:rPr/>
        <w:t xml:space="preserve">(2) For the purposes of this section, "complex needs patient" has the same meaning as in RCW 74.09.557.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mobility enhancing equipment, as described in sections 1 and 2 of this act, sold or used on or after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314b31dc97024e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0aa922cf32485f" /><Relationship Type="http://schemas.openxmlformats.org/officeDocument/2006/relationships/footer" Target="/word/footer1.xml" Id="R314b31dc97024e24" /></Relationships>
</file>