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4b72b70b7f49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5165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36</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70</w:t>
            </w:r>
            <w:r>
              <w:t xml:space="preserve">  Nays </w:t>
              <w:t xml:space="preserve">28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Nguyen, Mullet, Boehnke, Frame, Hasegawa, Keiser, Nobles, and Stanford; by request of Office of the Governor)</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power system transmission planning; amending RCW 19.280.030, 80.50.060, and 80.50.045; adding a new section to chapter 19.280 RCW;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electric power system serving Washington will require additional high voltage transmission capacity to achieve the state's objectives and legal requirements. Washington must reduce its greenhouse gas emissions under state law, and the 2021 state energy strategy finds that this will require a significant increase in the use of renewable or nonemitting electricity in place of fossil fuels now used in the transportation, industry, and building sectors.</w:t>
      </w:r>
    </w:p>
    <w:p>
      <w:pPr>
        <w:spacing w:before="0" w:after="0" w:line="408" w:lineRule="exact"/>
        <w:ind w:left="0" w:right="0" w:firstLine="576"/>
        <w:jc w:val="left"/>
      </w:pPr>
      <w:r>
        <w:rPr/>
        <w:t xml:space="preserve">(2) The legislature anticipated the crucial role of additional transmission capacity in 2019 in the enactment of the clean energy transformation act and directed the energy facilities site evaluation council to convene a transmission corridors work group. The transmission corridors work group issued its final report on October 31, 2022, in which it confirmed the central role of transmission and recommended actions to achieve the expansion of transmission capacity to address this need.</w:t>
      </w:r>
    </w:p>
    <w:p>
      <w:pPr>
        <w:spacing w:before="0" w:after="0" w:line="408" w:lineRule="exact"/>
        <w:ind w:left="0" w:right="0" w:firstLine="576"/>
        <w:jc w:val="left"/>
      </w:pPr>
      <w:r>
        <w:rPr/>
        <w:t xml:space="preserve">(3) Expanded transmission capacity and the more effective use of existing transmission capacity will provide benefits to electricity consumers in the state by enhancing the reliability of the electric power system and increasing access to more affordable sources of electricity within the state and across the western United States and Canada.</w:t>
      </w:r>
    </w:p>
    <w:p>
      <w:pPr>
        <w:spacing w:before="0" w:after="0" w:line="408" w:lineRule="exact"/>
        <w:ind w:left="0" w:right="0" w:firstLine="576"/>
        <w:jc w:val="left"/>
      </w:pPr>
      <w:r>
        <w:rPr/>
        <w:t xml:space="preserve">(4) Existing constraints on transmission capacity within the state already present challenges in ensuring adequate and affordable supplies of clean electricity. Of particular concern is the capability of the transmission system to deliver clean electricity into and within the central Puget Sound area.</w:t>
      </w:r>
    </w:p>
    <w:p>
      <w:pPr>
        <w:spacing w:before="0" w:after="0" w:line="408" w:lineRule="exact"/>
        <w:ind w:left="0" w:right="0" w:firstLine="576"/>
        <w:jc w:val="left"/>
      </w:pPr>
      <w:r>
        <w:rPr/>
        <w:t xml:space="preserve">(5) There are multiple issues that contribute to the challenge of making timely and cost-effective expansions of the high voltage transmission system. Among those challenges is the need for a more proactive transmission planning process using a longer planning period than current law requires. Transmission planning must reflect not just the requirements to connect individual generating resources to the grid but also the need to transfer electricity across the state and the west. Transmission planning must incorporate state policies and laws in planning objectives.</w:t>
      </w:r>
    </w:p>
    <w:p>
      <w:pPr>
        <w:spacing w:before="0" w:after="0" w:line="408" w:lineRule="exact"/>
        <w:ind w:left="0" w:right="0" w:firstLine="576"/>
        <w:jc w:val="left"/>
      </w:pPr>
      <w:r>
        <w:rPr/>
        <w:t xml:space="preserve">(6) Certain transmission projects are of significant state interest due to their impact on the access of multiple utilities and communities to gain access to clean, affordable electricity supplies and obtain electricity that is necessary to comply with state laws. </w:t>
      </w:r>
    </w:p>
    <w:p>
      <w:pPr>
        <w:spacing w:before="0" w:after="0" w:line="408" w:lineRule="exact"/>
        <w:ind w:left="0" w:right="0" w:firstLine="576"/>
        <w:jc w:val="left"/>
      </w:pPr>
      <w:r>
        <w:rPr/>
        <w:t xml:space="preserve">(7) The legislature intends and affirms that the option to use local government permitting processes remains available for transmission projects not subject to mandatory jurisdiction under RCW 80.50.060(2).</w:t>
      </w:r>
    </w:p>
    <w:p>
      <w:pPr>
        <w:spacing w:before="0" w:after="0" w:line="408" w:lineRule="exact"/>
        <w:ind w:left="0" w:right="0" w:firstLine="576"/>
        <w:jc w:val="left"/>
      </w:pPr>
      <w:r>
        <w:rPr/>
        <w:t xml:space="preserve">(8) Transmission projects typically take at least a decade to develop and permit. This timing presents particular challenges for achieving the state's greenhouse gas emissions reduction mandates, which include ambitious benchmarks as early as 2030. There is a need to accelerate the timeline for transmission development while still protecting other Washington values.</w:t>
      </w:r>
    </w:p>
    <w:p>
      <w:pPr>
        <w:spacing w:before="0" w:after="0" w:line="408" w:lineRule="exact"/>
        <w:ind w:left="0" w:right="0" w:firstLine="576"/>
        <w:jc w:val="left"/>
      </w:pPr>
      <w:r>
        <w:rPr/>
        <w:t xml:space="preserve">(9) Some electric utilities rely entirely or primarily on a contracted network transmission provider for required transmission services. These electric utilities may contribute to the objectives of this act by requesting that each provider of network transmission service to the utilities include the provisions of chapter 288, Laws of 2019 and chapter 70A.45 RCW as public policy mandates in the transmission service provider's transmission planning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2021 c 300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w:t>
      </w:r>
      <w:r>
        <w:t>((</w:t>
      </w:r>
      <w:r>
        <w:rPr>
          <w:strike/>
        </w:rPr>
        <w:t xml:space="preserve">twenty-five thousand</w:t>
      </w:r>
      <w:r>
        <w:t>))</w:t>
      </w:r>
      <w:r>
        <w:rPr/>
        <w:t xml:space="preserve"> </w:t>
      </w:r>
      <w:r>
        <w:rPr>
          <w:u w:val="single"/>
        </w:rPr>
        <w:t xml:space="preserve">25,000</w:t>
      </w:r>
      <w:r>
        <w:rPr/>
        <w:t xml:space="preserve">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w:t>
      </w:r>
      <w:r>
        <w:t>((</w:t>
      </w:r>
      <w:r>
        <w:rPr>
          <w:strike/>
        </w:rPr>
        <w:t xml:space="preserve">ten</w:t>
      </w:r>
      <w:r>
        <w:t>))</w:t>
      </w:r>
      <w:r>
        <w:rPr/>
        <w:t xml:space="preserve"> </w:t>
      </w:r>
      <w:r>
        <w:rPr>
          <w:u w:val="single"/>
        </w:rPr>
        <w:t xml:space="preserve">10</w:t>
      </w:r>
      <w:r>
        <w:rPr/>
        <w:t xml:space="preserve">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w:t>
      </w:r>
      <w:r>
        <w:t>((</w:t>
      </w:r>
      <w:r>
        <w:rPr>
          <w:strike/>
        </w:rPr>
        <w:t xml:space="preserve">ten</w:t>
      </w:r>
      <w:r>
        <w:t>))</w:t>
      </w:r>
      <w:r>
        <w:rPr/>
        <w:t xml:space="preserve"> </w:t>
      </w:r>
      <w:r>
        <w:rPr>
          <w:u w:val="single"/>
        </w:rPr>
        <w:t xml:space="preserve">20</w:t>
      </w:r>
      <w:r>
        <w:rPr/>
        <w:t xml:space="preserve">-year forecast of the availability of </w:t>
      </w:r>
      <w:r>
        <w:rPr>
          <w:u w:val="single"/>
        </w:rPr>
        <w:t xml:space="preserve">and requirements for</w:t>
      </w:r>
      <w:r>
        <w:rPr/>
        <w:t xml:space="preserve"> regional generation and transmission capacity </w:t>
      </w:r>
      <w:r>
        <w:t>((</w:t>
      </w:r>
      <w:r>
        <w:rPr>
          <w:strike/>
        </w:rPr>
        <w:t xml:space="preserve">on which the utility may rely</w:t>
      </w:r>
      <w:r>
        <w:t>))</w:t>
      </w:r>
      <w:r>
        <w:rPr/>
        <w:t xml:space="preserve"> to provide and deliver electricity to </w:t>
      </w:r>
      <w:r>
        <w:t>((</w:t>
      </w:r>
      <w:r>
        <w:rPr>
          <w:strike/>
        </w:rPr>
        <w:t xml:space="preserve">its customers</w:t>
      </w:r>
      <w:r>
        <w:t>))</w:t>
      </w:r>
      <w:r>
        <w:rPr>
          <w:u w:val="single"/>
        </w:rPr>
        <w:t xml:space="preserve">the utility's customers and to meet the requirements of chapter 288, Laws of 2019 and the state's greenhouse gas emissions reduction limits in RCW 70A.45.020. The transmission assessment must identify the utility's expected needs to acquire new long-term firm rights, develop new, or expand or upgrade existing, bulk transmission facilities consistent with the requirements of this section and reliability standards;</w:t>
      </w:r>
    </w:p>
    <w:p>
      <w:pPr>
        <w:spacing w:before="0" w:after="0" w:line="408" w:lineRule="exact"/>
        <w:ind w:left="0" w:right="0" w:firstLine="576"/>
        <w:jc w:val="left"/>
      </w:pPr>
      <w:r>
        <w:rPr>
          <w:u w:val="single"/>
        </w:rPr>
        <w:t xml:space="preserve">(i) If an electric utility operates transmission assets rated at 115,000 volts or greater, the transmission assessment must take into account opportunities to make more effective use of existing transmission capacity through improved transmission system operating practices, energy efficiency, demand response, grid modernization, nonwires solutions, and other programs if applicable;</w:t>
      </w:r>
    </w:p>
    <w:p>
      <w:pPr>
        <w:spacing w:before="0" w:after="0" w:line="408" w:lineRule="exact"/>
        <w:ind w:left="0" w:right="0" w:firstLine="576"/>
        <w:jc w:val="left"/>
      </w:pPr>
      <w:r>
        <w:rPr>
          <w:u w:val="single"/>
        </w:rPr>
        <w:t xml:space="preserve">(ii) An electric utility that relies entirely or primarily on a contract for transmission service to provide necessary transmission services may comply with the transmission requirements of this subsection by requesting that the counterparty to the transmission service contract include the provisions of chapter 288, Laws of 2019 and chapter 70A.45 RCW as public policy mandates in the transmission service provider's process for assessing transmission need, and planning and acquiring necessary transmission capacity;</w:t>
      </w:r>
    </w:p>
    <w:p>
      <w:pPr>
        <w:spacing w:before="0" w:after="0" w:line="408" w:lineRule="exact"/>
        <w:ind w:left="0" w:right="0" w:firstLine="576"/>
        <w:jc w:val="left"/>
      </w:pPr>
      <w:r>
        <w:rPr>
          <w:u w:val="single"/>
        </w:rPr>
        <w:t xml:space="preserve">(iii) An electric utility may comply with the requirements of this subsection (1)(f) by relying on and incorporating the results of a separate transmission assessment process, conducted individually or jointly with other utilities and transmission system users, if that assessment process meets the requirements of this subsection</w:t>
      </w:r>
      <w:r>
        <w:rPr/>
        <w:t xml:space="preserve">;</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w:t>
      </w:r>
      <w:r>
        <w:rPr>
          <w:u w:val="single"/>
        </w:rPr>
        <w:t xml:space="preserve">the avoidance and</w:t>
      </w:r>
      <w:r>
        <w:rPr/>
        <w:t xml:space="preserve"> reductions of burdens to vulnerable populations and highly impacted communities; long-term and short-term public health and environmental benefits, costs, and risks; and energy security and risk;</w:t>
      </w:r>
    </w:p>
    <w:p>
      <w:pPr>
        <w:spacing w:before="0" w:after="0" w:line="408" w:lineRule="exact"/>
        <w:ind w:left="0" w:right="0" w:firstLine="576"/>
        <w:jc w:val="left"/>
      </w:pPr>
      <w:r>
        <w:rPr/>
        <w:t xml:space="preserve">(l) A </w:t>
      </w:r>
      <w:r>
        <w:t>((</w:t>
      </w:r>
      <w:r>
        <w:rPr>
          <w:strike/>
        </w:rPr>
        <w:t xml:space="preserve">ten</w:t>
      </w:r>
      <w:r>
        <w:t>))</w:t>
      </w:r>
      <w:r>
        <w:rPr/>
        <w:t xml:space="preserve"> </w:t>
      </w:r>
      <w:r>
        <w:rPr>
          <w:u w:val="single"/>
        </w:rPr>
        <w:t xml:space="preserve">10</w:t>
      </w:r>
      <w:r>
        <w:rPr/>
        <w:t xml:space="preserve">-year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 and</w:t>
      </w:r>
    </w:p>
    <w:p>
      <w:pPr>
        <w:spacing w:before="0" w:after="0" w:line="408" w:lineRule="exact"/>
        <w:ind w:left="0" w:right="0" w:firstLine="576"/>
        <w:jc w:val="left"/>
      </w:pPr>
      <w:r>
        <w:rPr/>
        <w:t xml:space="preserve">(m) An analysis of how the plan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(1)(m)(iii) applies only to plans due to be filed after September 1, 2023.</w:t>
      </w:r>
    </w:p>
    <w:p>
      <w:pPr>
        <w:spacing w:before="0" w:after="0" w:line="408" w:lineRule="exact"/>
        <w:ind w:left="0" w:right="0" w:firstLine="576"/>
        <w:jc w:val="left"/>
      </w:pPr>
      <w:r>
        <w:rPr/>
        <w:t xml:space="preserve">(2) </w:t>
      </w:r>
      <w:r>
        <w:t>((</w:t>
      </w:r>
      <w:r>
        <w:rPr>
          <w:strike/>
        </w:rPr>
        <w:t xml:space="preserve">For an investor-owned utility, the</w:t>
      </w:r>
      <w:r>
        <w:t>))</w:t>
      </w:r>
      <w:r>
        <w:rPr/>
        <w:t xml:space="preserve"> </w:t>
      </w:r>
      <w:r>
        <w:rPr>
          <w:u w:val="single"/>
        </w:rPr>
        <w:t xml:space="preserve">The</w:t>
      </w:r>
      <w:r>
        <w:rPr/>
        <w:t xml:space="preserve"> clean energy action plan must:</w:t>
      </w:r>
    </w:p>
    <w:p>
      <w:pPr>
        <w:spacing w:before="0" w:after="0" w:line="408" w:lineRule="exact"/>
        <w:ind w:left="0" w:right="0" w:firstLine="576"/>
        <w:jc w:val="left"/>
      </w:pPr>
      <w:r>
        <w:rPr/>
        <w:t xml:space="preserve">(a) Identify and be informed by the utility's </w:t>
      </w:r>
      <w:r>
        <w:t>((</w:t>
      </w:r>
      <w:r>
        <w:rPr>
          <w:strike/>
        </w:rPr>
        <w:t xml:space="preserve">ten</w:t>
      </w:r>
      <w:r>
        <w:t>))</w:t>
      </w:r>
      <w:r>
        <w:rPr/>
        <w:t xml:space="preserve"> </w:t>
      </w:r>
      <w:r>
        <w:rPr>
          <w:u w:val="single"/>
        </w:rPr>
        <w:t xml:space="preserve">10</w:t>
      </w:r>
      <w:r>
        <w:rPr/>
        <w:t xml:space="preserve">-year cost-effective conservation potential assessment as determined under RCW 19.285.040, if applicable; </w:t>
      </w:r>
    </w:p>
    <w:p>
      <w:pPr>
        <w:spacing w:before="0" w:after="0" w:line="408" w:lineRule="exact"/>
        <w:ind w:left="0" w:right="0" w:firstLine="576"/>
        <w:jc w:val="left"/>
      </w:pPr>
      <w:r>
        <w:rPr/>
        <w:t xml:space="preserve">(b) </w:t>
      </w:r>
      <w:r>
        <w:t>((</w:t>
      </w:r>
      <w:r>
        <w:rPr>
          <w:strike/>
        </w:rPr>
        <w:t xml:space="preserve">establish</w:t>
      </w:r>
      <w:r>
        <w:t>))</w:t>
      </w:r>
      <w:r>
        <w:rPr/>
        <w:t xml:space="preserve"> </w:t>
      </w:r>
      <w:r>
        <w:rPr>
          <w:u w:val="single"/>
        </w:rPr>
        <w:t xml:space="preserve">Establish</w:t>
      </w:r>
      <w:r>
        <w:rPr/>
        <w:t xml:space="preserve"> a resource adequacy requirement;</w:t>
      </w:r>
    </w:p>
    <w:p>
      <w:pPr>
        <w:spacing w:before="0" w:after="0" w:line="408" w:lineRule="exact"/>
        <w:ind w:left="0" w:right="0" w:firstLine="576"/>
        <w:jc w:val="left"/>
      </w:pPr>
      <w:r>
        <w:rPr/>
        <w:t xml:space="preserve">(c) </w:t>
      </w:r>
      <w:r>
        <w:t>((</w:t>
      </w:r>
      <w:r>
        <w:rPr>
          <w:strike/>
        </w:rPr>
        <w:t xml:space="preserve">identify</w:t>
      </w:r>
      <w:r>
        <w:t>))</w:t>
      </w:r>
      <w:r>
        <w:rPr/>
        <w:t xml:space="preserve"> </w:t>
      </w:r>
      <w:r>
        <w:rPr>
          <w:u w:val="single"/>
        </w:rPr>
        <w:t xml:space="preserve">Identify</w:t>
      </w:r>
      <w:r>
        <w:rPr/>
        <w:t xml:space="preserve"> the potential cost-effective demand response and load management programs that may be acquired; </w:t>
      </w:r>
    </w:p>
    <w:p>
      <w:pPr>
        <w:spacing w:before="0" w:after="0" w:line="408" w:lineRule="exact"/>
        <w:ind w:left="0" w:right="0" w:firstLine="576"/>
        <w:jc w:val="left"/>
      </w:pPr>
      <w:r>
        <w:rPr/>
        <w:t xml:space="preserve">(d) </w:t>
      </w:r>
      <w:r>
        <w:t>((</w:t>
      </w:r>
      <w:r>
        <w:rPr>
          <w:strike/>
        </w:rPr>
        <w:t xml:space="preserve">identify</w:t>
      </w:r>
      <w:r>
        <w:t>))</w:t>
      </w:r>
      <w:r>
        <w:rPr/>
        <w:t xml:space="preserve"> </w:t>
      </w:r>
      <w:r>
        <w:rPr>
          <w:u w:val="single"/>
        </w:rPr>
        <w:t xml:space="preserve">Identify</w:t>
      </w:r>
      <w:r>
        <w:rPr/>
        <w:t xml:space="preserve"> renewable resources, nonemitting electric generation, and distributed energy resources that may be acquired and evaluate how each identified resource may be expected to contribute to meeting the utility's resource adequacy requirement;</w:t>
      </w:r>
    </w:p>
    <w:p>
      <w:pPr>
        <w:spacing w:before="0" w:after="0" w:line="408" w:lineRule="exact"/>
        <w:ind w:left="0" w:right="0" w:firstLine="576"/>
        <w:jc w:val="left"/>
      </w:pPr>
      <w:r>
        <w:rPr/>
        <w:t xml:space="preserve">(e) </w:t>
      </w:r>
      <w:r>
        <w:t>((</w:t>
      </w:r>
      <w:r>
        <w:rPr>
          <w:strike/>
        </w:rPr>
        <w:t xml:space="preserve">identify</w:t>
      </w:r>
      <w:r>
        <w:t>))</w:t>
      </w:r>
      <w:r>
        <w:rPr/>
        <w:t xml:space="preserve"> </w:t>
      </w:r>
      <w:r>
        <w:rPr>
          <w:u w:val="single"/>
        </w:rPr>
        <w:t xml:space="preserve">Identify</w:t>
      </w:r>
      <w:r>
        <w:rPr/>
        <w:t xml:space="preserve"> any need to develop new, or expand or upgrade existing, bulk transmission and distribution facilities </w:t>
      </w:r>
      <w:r>
        <w:rPr>
          <w:u w:val="single"/>
        </w:rPr>
        <w:t xml:space="preserve">and document existing and planned efforts by the utility to make more effective use of existing transmission capacity and secure additional transmission capacity consistent with the requirements of subsection (1)(f) of this section</w:t>
      </w:r>
      <w:r>
        <w:rPr/>
        <w:t xml:space="preserve">; and</w:t>
      </w:r>
    </w:p>
    <w:p>
      <w:pPr>
        <w:spacing w:before="0" w:after="0" w:line="408" w:lineRule="exact"/>
        <w:ind w:left="0" w:right="0" w:firstLine="576"/>
        <w:jc w:val="left"/>
      </w:pPr>
      <w:r>
        <w:rPr/>
        <w:t xml:space="preserve">(f) </w:t>
      </w:r>
      <w:r>
        <w:t>((</w:t>
      </w:r>
      <w:r>
        <w:rPr>
          <w:strike/>
        </w:rPr>
        <w:t xml:space="preserve">identify</w:t>
      </w:r>
      <w:r>
        <w:t>))</w:t>
      </w:r>
      <w:r>
        <w:rPr/>
        <w:t xml:space="preserve"> </w:t>
      </w:r>
      <w:r>
        <w:rPr>
          <w:u w:val="single"/>
        </w:rPr>
        <w:t xml:space="preserve">Identify</w:t>
      </w:r>
      <w:r>
        <w:rPr/>
        <w:t xml:space="preserve">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(d) By December 31, 2020, and in every resource plan thereafter, identifies how the utility plans over a </w:t>
      </w:r>
      <w:r>
        <w:t>((</w:t>
      </w:r>
      <w:r>
        <w:rPr>
          <w:strike/>
        </w:rPr>
        <w:t xml:space="preserve">ten</w:t>
      </w:r>
      <w:r>
        <w:t>))</w:t>
      </w:r>
      <w:r>
        <w:rPr/>
        <w:t xml:space="preserve"> </w:t>
      </w:r>
      <w:r>
        <w:rPr>
          <w:u w:val="single"/>
        </w:rPr>
        <w:t xml:space="preserve">10</w:t>
      </w:r>
      <w:r>
        <w:rPr/>
        <w:t xml:space="preserve">-year period to implement RCW 19.405.040 and 19.405.050; and</w:t>
      </w:r>
    </w:p>
    <w:p>
      <w:pPr>
        <w:spacing w:before="0" w:after="0" w:line="408" w:lineRule="exact"/>
        <w:ind w:left="0" w:right="0" w:firstLine="576"/>
        <w:jc w:val="left"/>
      </w:pPr>
      <w:r>
        <w:rPr/>
        <w:t xml:space="preserve">(e)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(5)(e)(iii) applies only to plans due to be filed after September 1, 2023.</w:t>
      </w:r>
    </w:p>
    <w:p>
      <w:pPr>
        <w:spacing w:before="0" w:after="0" w:line="408" w:lineRule="exact"/>
        <w:ind w:left="0" w:right="0" w:firstLine="576"/>
        <w:jc w:val="left"/>
      </w:pPr>
      <w:r>
        <w:rPr/>
        <w:t xml:space="preserve">(6) Assessments for demand-side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 Plans shall not be a basis to bring legal action against electric utilities.</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t>((</w:t>
      </w:r>
      <w:r>
        <w:rPr>
          <w:strike/>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Electric utilities must in their planning and selection of renewable resources give reasonable consideration, consistent with prudent utility practice, to renewable resources that would use transmission services considered to be conditional firm under the tariff of the relevant transmission provider. For the purposes of this section, conditional firm service means any form of long-term firm point-to-point transmission service in which transmission customers are able to reserve service subject to specific and limited conditions under which the transmission provider may curtail the transmission customer's reservation of service prior to curtailment of other firm service.</w:t>
      </w:r>
    </w:p>
    <w:p>
      <w:pPr>
        <w:spacing w:before="0" w:after="0" w:line="408" w:lineRule="exact"/>
        <w:ind w:left="0" w:right="0" w:firstLine="576"/>
        <w:jc w:val="left"/>
      </w:pPr>
      <w:r>
        <w:rPr/>
        <w:t xml:space="preserve">(2) Electric utilities are encouraged to participate and contribute to statewide or multiutility planning activities and through interstate transmission planning processes.</w:t>
      </w:r>
    </w:p>
    <w:p>
      <w:pPr>
        <w:spacing w:before="0" w:after="0" w:line="408" w:lineRule="exact"/>
        <w:ind w:left="0" w:right="0" w:firstLine="576"/>
        <w:jc w:val="left"/>
      </w:pPr>
      <w:r>
        <w:rPr/>
        <w:t xml:space="preserve">(3) Electric utilities must consult with federal, interstate, and voluntary industry organizations with a role in the bulk power transmission system, including but not limited to the Bonneville power administration, the Pacific Northwest electric power and conservation planning council, NorthernGrid, the Western Power Pool, and public interest organizations in improving the planning and development of transmission capacity consistent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2022 c 183 s 6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and</w:t>
      </w:r>
    </w:p>
    <w:p>
      <w:pPr>
        <w:spacing w:before="0" w:after="0" w:line="408" w:lineRule="exact"/>
        <w:ind w:left="0" w:right="0" w:firstLine="576"/>
        <w:jc w:val="left"/>
      </w:pPr>
      <w:r>
        <w:rPr/>
        <w:t xml:space="preserve">(v) Storage facilities.</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u w:val="single"/>
        </w:rPr>
        <w:t xml:space="preserve">(ii) The</w:t>
      </w:r>
      <w:r>
        <w:rPr/>
        <w:t xml:space="preserv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045</w:t>
      </w:r>
      <w:r>
        <w:rPr/>
        <w:t xml:space="preserve"> and 2006 c 196 s 3 are each amended to read as follows:</w:t>
      </w:r>
    </w:p>
    <w:p>
      <w:pPr>
        <w:spacing w:before="0" w:after="0" w:line="408" w:lineRule="exact"/>
        <w:ind w:left="0" w:right="0" w:firstLine="576"/>
        <w:jc w:val="left"/>
      </w:pPr>
      <w:r>
        <w:rPr/>
        <w:t xml:space="preserve">(1) The council shall consult with other state agencies, utilities, local municipal governments, public interest groups, tribes, and other interested persons to convey their views to the secretary and the federal energy regulatory commission regarding appropriate limits on federal regulatory authority in the siting of electrical transmission corridors in the state of Washington.</w:t>
      </w:r>
    </w:p>
    <w:p>
      <w:pPr>
        <w:spacing w:before="0" w:after="0" w:line="408" w:lineRule="exact"/>
        <w:ind w:left="0" w:right="0" w:firstLine="576"/>
        <w:jc w:val="left"/>
      </w:pPr>
      <w:r>
        <w:rPr/>
        <w:t xml:space="preserve">(2) The council is designated as the state authority for purposes of siting transmission facilities under </w:t>
      </w:r>
      <w:r>
        <w:t>((</w:t>
      </w:r>
      <w:r>
        <w:rPr>
          <w:strike/>
        </w:rPr>
        <w:t xml:space="preserve">the national energy policy act of 2005</w:t>
      </w:r>
      <w:r>
        <w:t>))</w:t>
      </w:r>
      <w:r>
        <w:rPr/>
        <w:t xml:space="preserve"> </w:t>
      </w:r>
      <w:r>
        <w:rPr>
          <w:u w:val="single"/>
        </w:rPr>
        <w:t xml:space="preserve">Title 16 U.S.C. Sec. 824p</w:t>
      </w:r>
      <w:r>
        <w:rPr/>
        <w:t xml:space="preserve"> and for purposes of other such rules or regulations adopted by the secretary. The council's authority regarding transmission facilities </w:t>
      </w:r>
      <w:r>
        <w:rPr>
          <w:u w:val="single"/>
        </w:rPr>
        <w:t xml:space="preserve">under this subsection</w:t>
      </w:r>
      <w:r>
        <w:rPr/>
        <w:t xml:space="preserve"> is limited to those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and this chapter.</w:t>
      </w:r>
    </w:p>
    <w:p>
      <w:pPr>
        <w:spacing w:before="0" w:after="0" w:line="408" w:lineRule="exact"/>
        <w:ind w:left="0" w:right="0" w:firstLine="576"/>
        <w:jc w:val="left"/>
      </w:pPr>
      <w:r>
        <w:rPr/>
        <w:t xml:space="preserve">(3) For the construction and modification of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the council may: (a) Approve the siting of the facilities; and (b) consider the interstate benefits expected to be achieved by the proposed construction or modification of the facilities in the state.</w:t>
      </w:r>
    </w:p>
    <w:p>
      <w:pPr>
        <w:spacing w:before="0" w:after="0" w:line="408" w:lineRule="exact"/>
        <w:ind w:left="0" w:right="0" w:firstLine="576"/>
        <w:jc w:val="left"/>
      </w:pPr>
      <w:r>
        <w:rPr/>
        <w:t xml:space="preserve">(4) When developing recommendations as to the disposition of an application for the construction or modification of transmission facilities under this chapter, the fuel source of the electricity carried by the transmission facilities shall not be considered.</w:t>
      </w:r>
    </w:p>
    <w:p>
      <w:pPr>
        <w:spacing w:before="0" w:after="0" w:line="408" w:lineRule="exact"/>
        <w:ind w:left="0" w:right="0" w:firstLine="576"/>
        <w:jc w:val="left"/>
      </w:pPr>
      <w:r>
        <w:rPr>
          <w:u w:val="single"/>
        </w:rPr>
        <w:t xml:space="preserve">(5) For electrical transmission projects proposed or sited by a federal agency, the director must coordinate state agency participation in environmental review under the national environmental policy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REVIEWS.</w:t>
      </w:r>
    </w:p>
    <w:p>
      <w:pPr>
        <w:spacing w:before="0" w:after="0" w:line="408" w:lineRule="exact"/>
        <w:ind w:left="0" w:right="0" w:firstLine="576"/>
        <w:jc w:val="left"/>
      </w:pPr>
      <w:r>
        <w:rPr/>
        <w:t xml:space="preserve">(1) The energy facility site evaluation council shall prepare nonproject environmental impact statements, pursuant to RCW 43.21C.030, that assess and disclose the probable significant adverse environmental impacts, and that identify related mitigation measures for electrical transmission facilities with a nominal voltage of 230kV or greater.</w:t>
      </w:r>
    </w:p>
    <w:p>
      <w:pPr>
        <w:spacing w:before="0" w:after="0" w:line="408" w:lineRule="exact"/>
        <w:ind w:left="0" w:right="0" w:firstLine="576"/>
        <w:jc w:val="left"/>
      </w:pPr>
      <w:r>
        <w:rPr/>
        <w:t xml:space="preserve">(2) The scope of a nonproject environmental review is limited to the probable, significant adverse environmental impacts in geographic areas that are suitable for the electrical transmission facilities with a nominal voltage of 230kV or greater. The energy facility site evaluation council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electrical transmission facilities with a nominal voltage of 230kV or greater.</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 </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 </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energy facility site evaluation council shall consult with other agencies with expertise in identification and mitigation of probable, significant adverse environmental impacts including, but not limited to, the department of fish and wildlife. The energy facility site evaluation council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electrical transmission facilities with a nominal voltage of 230kV or greater, the energy facility site evaluation council shall request input from agencies, federally recognized Indian tribes, industry, stakeholders, local governments, and the public to identify the geographic areas suitable for electrical transmission facilities with a nominal voltage of 230kV or greater, based on the climatic and geophysical attributes conducive to or required for project development. The energy facility site evaluation council will provide opportunities for the engagement of tribes, overburdened communities, and stakeholders that self-identify an interest in participating in the process.</w:t>
      </w:r>
    </w:p>
    <w:p>
      <w:pPr>
        <w:spacing w:before="0" w:after="0" w:line="408" w:lineRule="exact"/>
        <w:ind w:left="0" w:right="0" w:firstLine="576"/>
        <w:jc w:val="left"/>
      </w:pPr>
      <w:r>
        <w:rPr/>
        <w:t xml:space="preserve">(5) The energy facility site evaluation council must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nonproject review by early identification of tribal rights, interests, or resources, including tribal cultural resources, potentially affected by the project type and identifying solutions, when possible, to avoid, minimize, or mitigate any adverse effects on tribal rights, interests, or resources, including tribal cultural resources, based on environmental or permit review.</w:t>
      </w:r>
    </w:p>
    <w:p>
      <w:pPr>
        <w:spacing w:before="0" w:after="0" w:line="408" w:lineRule="exact"/>
        <w:ind w:left="0" w:right="0" w:firstLine="576"/>
        <w:jc w:val="left"/>
      </w:pPr>
      <w:r>
        <w:rPr/>
        <w:t xml:space="preserve">(6) Final nonproject environmental review documents for the electrical transmission facilities with a nominal voltage of 230kV or greater, where applicable, must include maps identifying probable, significant adverse environmental impacts for the resources evaluated. Maps must be prepared with the intention to illustrate probable, significant impacts and areas where impacts are avoided or capable of being minimized or mitigated, creating a tool that may be used by project proponents, tribes, and government to inform decision making. Maps may not include confidential information, such as locations of sacred cultural sites or locations of populations of certain protected species.</w:t>
      </w:r>
    </w:p>
    <w:p>
      <w:pPr>
        <w:spacing w:before="0" w:after="0" w:line="408" w:lineRule="exact"/>
        <w:ind w:left="0" w:right="0" w:firstLine="576"/>
        <w:jc w:val="left"/>
      </w:pPr>
      <w:r>
        <w:rPr/>
        <w:t xml:space="preserve">(7) For transmission line projects utilizing an existing transmission right-of-way or that are located along a transportation corridor or transmission projects utilizing an existing transmission right-of-way, the reasonable alternatives analysis required under this section is limited to the proposed action and a no action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an electrical transmission facility with a nominal voltage of 230kV or greater must consider a nonproject environmental impact statement completed pursuant to section 6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an electrical transmission facility with a nominal voltage of 230kV or greater must begin with the review of the applicable nonproject environmental impact statement completed pursuant to section 6 of this act. The review must address any probable significant adverse environmental impacts associated with the proposal that were not analyzed in the nonproject environmental impact statements pursuant to section 6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(b) Lead agencies reviewing site-specific project proposals for electrical transmission facilities with a nominal voltage of 230kV or greater shall use the nonproject review described in section 6 of this act through one of the following methods and in accordance with WAC 197-11-600, as it existed as of January 1, 2023: </w:t>
      </w:r>
    </w:p>
    <w:p>
      <w:pPr>
        <w:spacing w:before="0" w:after="0" w:line="408" w:lineRule="exact"/>
        <w:ind w:left="0" w:right="0" w:firstLine="576"/>
        <w:jc w:val="left"/>
      </w:pPr>
      <w:r>
        <w:rPr/>
        <w:t xml:space="preserve">(i) Use of the nonproject review unchanged, in accordance with RCW 43.21C.034, if the project does not cause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 </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Proposals for electrical transmission facilities with a nominal voltage of 230kV or greater following the recommendations developed in the nonproject environmental review completed pursuant to section 6 of this act are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
      <w:pPr>
        <w:jc w:val="center"/>
      </w:pPr>
      <w:r>
        <w:rPr>
          <w:b/>
        </w:rPr>
        <w:t>--- END ---</w:t>
      </w:r>
    </w:p>
    <w:sectPr>
      <w:pgNumType w:start="1"/>
      <w:footerReference xmlns:r="http://schemas.openxmlformats.org/officeDocument/2006/relationships" r:id="R24205c955dd84d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5c9733413844d3" /><Relationship Type="http://schemas.openxmlformats.org/officeDocument/2006/relationships/footer" Target="/word/footer1.xml" Id="R24205c955dd84d4d" /></Relationships>
</file>