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9aa701f9f48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5145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5145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5145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Senators Short, Salomon, McCune, and Warnick)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law regarding liability protections associated with public recreational use of lands or waters under a hydroelectric license issued by the federal energy regulatory commission; amending RCW 4.24.210;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w:t>
      </w:r>
      <w:r>
        <w:rPr>
          <w:u w:val="single"/>
        </w:rPr>
        <w:t xml:space="preserve">boating, swimming, fishing,</w:t>
      </w:r>
      <w:r>
        <w:rPr/>
        <w:t xml:space="preserve">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and</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any action filed prior to the effective date of this section.</w:t>
      </w:r>
    </w:p>
    <w:p/>
    <w:p>
      <w:pPr>
        <w:jc w:val="center"/>
      </w:pPr>
      <w:r>
        <w:rPr>
          <w:b/>
        </w:rPr>
        <w:t>--- END ---</w:t>
      </w:r>
    </w:p>
    <w:sectPr>
      <w:pgNumType w:start="1"/>
      <w:footerReference xmlns:r="http://schemas.openxmlformats.org/officeDocument/2006/relationships" r:id="Ref4673e57a134d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f061b9e5344589" /><Relationship Type="http://schemas.openxmlformats.org/officeDocument/2006/relationships/footer" Target="/word/footer1.xml" Id="Ref4673e57a134d90" /></Relationships>
</file>