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7faec16f74a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5128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34</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Trudeau, Dhingra, Billig, Hasegawa, Hunt, Kuderer, Pedersen, Stanford, Valdez, Wellman, and C. Wilson; by request of Administrative Office of the Courts)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diversity; amending RCW 2.36.095 and 2.36.054; adding a new section to chapter 2.36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administrative office of the courts shall provide all courts with a method to collect data on a juror's race, ethnicity, age, sex, employment status, educational attainment, and income, as well as any other data approved by order of the chief justice of the Washington state supreme court. Data collection must be conducted and reported in a manner that preserves juror anonymity. The administrative office of the courts shall publish this demographic data in an annual report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administrative office of the courts shall establish a work group to make recommendations for the creation of a child care assistance program for individuals reporting for jury service.</w:t>
      </w:r>
    </w:p>
    <w:p>
      <w:pPr>
        <w:spacing w:before="0" w:after="0" w:line="408" w:lineRule="exact"/>
        <w:ind w:left="0" w:right="0" w:firstLine="576"/>
        <w:jc w:val="left"/>
      </w:pPr>
      <w:r>
        <w:rPr/>
        <w:t xml:space="preserve">(b) The purpose of the child care assistance program shall be to eliminate the absence of child care as a barrier to performing jury service.</w:t>
      </w:r>
    </w:p>
    <w:p>
      <w:pPr>
        <w:spacing w:before="0" w:after="0" w:line="408" w:lineRule="exact"/>
        <w:ind w:left="0" w:right="0" w:firstLine="576"/>
        <w:jc w:val="left"/>
      </w:pPr>
      <w:r>
        <w:rPr/>
        <w:t xml:space="preserve">(2)(a) By December 1, 2024, the administrative office of the courts shall report the work group findings and recommendations for establishing a child care assistance program to the appropriate committees of the legislature.</w:t>
      </w:r>
    </w:p>
    <w:p>
      <w:pPr>
        <w:spacing w:before="0" w:after="0" w:line="408" w:lineRule="exact"/>
        <w:ind w:left="0" w:right="0" w:firstLine="576"/>
        <w:jc w:val="left"/>
      </w:pPr>
      <w:r>
        <w:rPr/>
        <w:t xml:space="preserve">(b) The report must outline the planning and implementation of the program and an estimation of the cost.</w:t>
      </w:r>
    </w:p>
    <w:p>
      <w:pPr>
        <w:spacing w:before="0" w:after="0" w:line="408" w:lineRule="exact"/>
        <w:ind w:left="0" w:right="0" w:firstLine="576"/>
        <w:jc w:val="left"/>
      </w:pPr>
      <w:r>
        <w:rPr/>
        <w:t xml:space="preserve">(3) This section expires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095</w:t>
      </w:r>
      <w:r>
        <w:rPr/>
        <w:t xml:space="preserve"> and 2013 c 246 s 1 are each amended to read as follows:</w:t>
      </w:r>
    </w:p>
    <w:p>
      <w:pPr>
        <w:spacing w:before="0" w:after="0" w:line="408" w:lineRule="exact"/>
        <w:ind w:left="0" w:right="0" w:firstLine="576"/>
        <w:jc w:val="left"/>
      </w:pPr>
      <w:r>
        <w:rPr/>
        <w:t xml:space="preserve">(1) Persons selected to serve on a petit jury, grand jury, or jury of inquest shall be summoned by mail or personal service</w:t>
      </w:r>
      <w:r>
        <w:rPr>
          <w:u w:val="single"/>
        </w:rPr>
        <w:t xml:space="preserve">, or electronically</w:t>
      </w:r>
      <w:r>
        <w:rPr/>
        <w:t xml:space="preserve">. The county clerk shall issue summons and thereby notify persons selected for jury duty. The clerk may issue summons for any jury term, in any consecutive twelve-month period, at any time thirty days or more before the beginning of the jury term for which the summons are issued. However, when applicable, the provisions of RCW 2.36.130 apply.</w:t>
      </w:r>
    </w:p>
    <w:p>
      <w:pPr>
        <w:spacing w:before="0" w:after="0" w:line="408" w:lineRule="exact"/>
        <w:ind w:left="0" w:right="0" w:firstLine="576"/>
        <w:jc w:val="left"/>
      </w:pPr>
      <w:r>
        <w:rPr/>
        <w:t xml:space="preserve">(2) In courts of limited jurisdiction summons shall be issued by the court. Upon the agreement of the courts, the county clerk may summon jurors for any and all courts in the county or judicial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2015 c 225 s 1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1st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consolidated technology services agency.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w:t>
      </w:r>
      <w:r>
        <w:rPr>
          <w:u w:val="single"/>
        </w:rPr>
        <w:t xml:space="preserve">(a)</w:t>
      </w:r>
      <w:r>
        <w:rPr/>
        <w:t xml:space="preserve">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u w:val="single"/>
        </w:rPr>
        <w:t xml:space="preserve">(b) After July 1, 2024, persons who:</w:t>
      </w:r>
    </w:p>
    <w:p>
      <w:pPr>
        <w:spacing w:before="0" w:after="0" w:line="408" w:lineRule="exact"/>
        <w:ind w:left="0" w:right="0" w:firstLine="576"/>
        <w:jc w:val="left"/>
      </w:pPr>
      <w:r>
        <w:rPr>
          <w:u w:val="single"/>
        </w:rPr>
        <w:t xml:space="preserve">(i) Apply for a driver's license or identicard in this state shall have the ability to opt in to allow the department of licensing to share the person's email address with the consolidated technology services agency for the purpose of electronically receiving jury summons and other communications related to jury service; and</w:t>
      </w:r>
    </w:p>
    <w:p>
      <w:pPr>
        <w:spacing w:before="0" w:after="0" w:line="408" w:lineRule="exact"/>
        <w:ind w:left="0" w:right="0" w:firstLine="576"/>
        <w:jc w:val="left"/>
      </w:pPr>
      <w:r>
        <w:rPr>
          <w:u w:val="single"/>
        </w:rPr>
        <w:t xml:space="preserve">(ii) Apply online to the register to vote shall, immediately after completing the voter registration transaction, be directed by the secretary of state to a website where the person shall have the ability to opt in to share the person's email address with the consolidated technology services agency for the purpose of electronically receiving jury summons and other communications related to jury service. The provisions of the subsection (2)(b)(ii) are subject to appropriation.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
      <w:pPr>
        <w:jc w:val="center"/>
      </w:pPr>
      <w:r>
        <w:rPr>
          <w:b/>
        </w:rPr>
        <w:t>--- END ---</w:t>
      </w:r>
    </w:p>
    <w:sectPr>
      <w:pgNumType w:start="1"/>
      <w:footerReference xmlns:r="http://schemas.openxmlformats.org/officeDocument/2006/relationships" r:id="R0bc9a09179f94d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a3ad925cf49ef" /><Relationship Type="http://schemas.openxmlformats.org/officeDocument/2006/relationships/footer" Target="/word/footer1.xml" Id="R0bc9a09179f94dd6" /></Relationships>
</file>