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43fbc433c147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5103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5103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5103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Muzzall, Cleveland, and Rivers)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 to acute care hospitals for difficult to discharge medicaid patients who do not need acute care but who are waiting in the hospital to be appropriately and timely discharged to postacute and community settings; amending RCW 74.09.520;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2022 c 255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the department, the department shall contract with area agencies on aging or may contract with a federally recognized Indian tribe under RCW 74.39A.090(3):</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or federally recognized Indian tribe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t xml:space="preserve">(11) Subject to the availability of amounts appropriated for this specific purpose, the authority shall:</w:t>
      </w:r>
    </w:p>
    <w:p>
      <w:pPr>
        <w:spacing w:before="0" w:after="0" w:line="408" w:lineRule="exact"/>
        <w:ind w:left="0" w:right="0" w:firstLine="576"/>
        <w:jc w:val="left"/>
      </w:pPr>
      <w:r>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t xml:space="preserve">(i) Up to five sessions for purposes of intake and assessment, if necessary;</w:t>
      </w:r>
    </w:p>
    <w:p>
      <w:pPr>
        <w:spacing w:before="0" w:after="0" w:line="408" w:lineRule="exact"/>
        <w:ind w:left="0" w:right="0" w:firstLine="576"/>
        <w:jc w:val="left"/>
      </w:pPr>
      <w:r>
        <w:rPr/>
        <w:t xml:space="preserve">(ii) Assessments in home or community settings, including reimbursement for provider travel; and</w:t>
      </w:r>
    </w:p>
    <w:p>
      <w:pPr>
        <w:spacing w:before="0" w:after="0" w:line="408" w:lineRule="exact"/>
        <w:ind w:left="0" w:right="0" w:firstLine="576"/>
        <w:jc w:val="left"/>
      </w:pPr>
      <w:r>
        <w:rPr/>
        <w:t xml:space="preserve">(b) Require providers to use the current version of the DC:0-5 diagnostic classification system for mental health assessment and diagnosis of children from birth through five years of age.</w:t>
      </w:r>
    </w:p>
    <w:p>
      <w:pPr>
        <w:spacing w:before="0" w:after="0" w:line="408" w:lineRule="exact"/>
        <w:ind w:left="0" w:right="0" w:firstLine="576"/>
        <w:jc w:val="left"/>
      </w:pPr>
      <w:r>
        <w:rPr>
          <w:u w:val="single"/>
        </w:rPr>
        <w:t xml:space="preserve">(12)(a) The authority shall</w:t>
      </w:r>
      <w:r>
        <w:rPr>
          <w:u w:val="single"/>
        </w:rPr>
        <w:t xml:space="preserve"> require or provide payment to the hospital for any day of a hospital stay in which an adult or child patient enrolled in medical assistance, including home and community services or with a medicaid managed care organization, under this chapter:</w:t>
      </w:r>
    </w:p>
    <w:p>
      <w:pPr>
        <w:spacing w:before="0" w:after="0" w:line="408" w:lineRule="exact"/>
        <w:ind w:left="0" w:right="0" w:firstLine="576"/>
        <w:jc w:val="left"/>
      </w:pPr>
      <w:r>
        <w:rPr>
          <w:u w:val="single"/>
        </w:rPr>
        <w:t xml:space="preserve">(i) Does not meet the criteria for acute inpatient level of care as defined by the authority;</w:t>
      </w:r>
    </w:p>
    <w:p>
      <w:pPr>
        <w:spacing w:before="0" w:after="0" w:line="408" w:lineRule="exact"/>
        <w:ind w:left="0" w:right="0" w:firstLine="576"/>
        <w:jc w:val="left"/>
      </w:pPr>
      <w:r>
        <w:rPr>
          <w:u w:val="single"/>
        </w:rPr>
        <w:t xml:space="preserve">(ii) Meets the criteria for discharge, as defined by the authority or department, to any appropriate placement including, but not limited to:</w:t>
      </w:r>
    </w:p>
    <w:p>
      <w:pPr>
        <w:spacing w:before="0" w:after="0" w:line="408" w:lineRule="exact"/>
        <w:ind w:left="0" w:right="0" w:firstLine="576"/>
        <w:jc w:val="left"/>
      </w:pPr>
      <w:r>
        <w:rPr>
          <w:u w:val="single"/>
        </w:rPr>
        <w:t xml:space="preserve">(A) A nursing home licensed under chapter 18.51 RCW;</w:t>
      </w:r>
    </w:p>
    <w:p>
      <w:pPr>
        <w:spacing w:before="0" w:after="0" w:line="408" w:lineRule="exact"/>
        <w:ind w:left="0" w:right="0" w:firstLine="576"/>
        <w:jc w:val="left"/>
      </w:pPr>
      <w:r>
        <w:rPr>
          <w:u w:val="single"/>
        </w:rPr>
        <w:t xml:space="preserve">(B) An assisted living facility licensed under chapter 18.20 RCW;</w:t>
      </w:r>
    </w:p>
    <w:p>
      <w:pPr>
        <w:spacing w:before="0" w:after="0" w:line="408" w:lineRule="exact"/>
        <w:ind w:left="0" w:right="0" w:firstLine="576"/>
        <w:jc w:val="left"/>
      </w:pPr>
      <w:r>
        <w:rPr>
          <w:u w:val="single"/>
        </w:rPr>
        <w:t xml:space="preserve">(C) An adult family home licensed under chapter 70.128 RCW; or</w:t>
      </w:r>
    </w:p>
    <w:p>
      <w:pPr>
        <w:spacing w:before="0" w:after="0" w:line="408" w:lineRule="exact"/>
        <w:ind w:left="0" w:right="0" w:firstLine="576"/>
        <w:jc w:val="left"/>
      </w:pPr>
      <w:r>
        <w:rPr>
          <w:u w:val="single"/>
        </w:rPr>
        <w:t xml:space="preserve">(D) A setting in which residential services are provided or funded by the developmental disabilities administration of the department, including supported living as defined in RCW 71A.10.020; and</w:t>
      </w:r>
    </w:p>
    <w:p>
      <w:pPr>
        <w:spacing w:before="0" w:after="0" w:line="408" w:lineRule="exact"/>
        <w:ind w:left="0" w:right="0" w:firstLine="576"/>
        <w:jc w:val="left"/>
      </w:pPr>
      <w:r>
        <w:rPr>
          <w:u w:val="single"/>
        </w:rPr>
        <w:t xml:space="preserve">(iii) Is not discharged from the hospital because placement in the appropriate location described in (a)(ii) of this subsection is not available.</w:t>
      </w:r>
    </w:p>
    <w:p>
      <w:pPr>
        <w:spacing w:before="0" w:after="0" w:line="408" w:lineRule="exact"/>
        <w:ind w:left="0" w:right="0" w:firstLine="576"/>
        <w:jc w:val="left"/>
      </w:pPr>
      <w:r>
        <w:rPr>
          <w:u w:val="single"/>
        </w:rPr>
        <w:t xml:space="preserve">(b) The authority shall adopt rules identifying which services are included in the payment described in (a) of this subsection and which services may be billed separately, including specific revenue codes or services required on the inpatient claim.</w:t>
      </w:r>
    </w:p>
    <w:p>
      <w:pPr>
        <w:spacing w:before="0" w:after="0" w:line="408" w:lineRule="exact"/>
        <w:ind w:left="0" w:right="0" w:firstLine="576"/>
        <w:jc w:val="left"/>
      </w:pPr>
      <w:r>
        <w:rPr>
          <w:u w:val="single"/>
        </w:rPr>
        <w:t xml:space="preserve">(c) Allowable medically necessary services performed during a stay described in (a) of this subsection shall be billed by and paid to the hospital separately. Such services may include but are not limited to hemodialysis, laboratory charges, and x-rays.</w:t>
      </w:r>
    </w:p>
    <w:p>
      <w:pPr>
        <w:spacing w:before="0" w:after="0" w:line="408" w:lineRule="exact"/>
        <w:ind w:left="0" w:right="0" w:firstLine="576"/>
        <w:jc w:val="left"/>
      </w:pPr>
      <w:r>
        <w:rPr>
          <w:u w:val="single"/>
        </w:rPr>
        <w:t xml:space="preserve">(d) Pharmacy services and pharmaceuticals shall be billed by and paid to the hospital separately.</w:t>
      </w:r>
    </w:p>
    <w:p>
      <w:pPr>
        <w:spacing w:before="0" w:after="0" w:line="408" w:lineRule="exact"/>
        <w:ind w:left="0" w:right="0" w:firstLine="576"/>
        <w:jc w:val="left"/>
      </w:pPr>
      <w:r>
        <w:rPr>
          <w:u w:val="single"/>
        </w:rPr>
        <w:t xml:space="preserve">(e) The requirements of this subsection do not alter requirements for billing or payment for inpatient care.</w:t>
      </w:r>
    </w:p>
    <w:p>
      <w:pPr>
        <w:spacing w:before="0" w:after="0" w:line="408" w:lineRule="exact"/>
        <w:ind w:left="0" w:right="0" w:firstLine="576"/>
        <w:jc w:val="left"/>
      </w:pPr>
      <w:r>
        <w:rPr>
          <w:u w:val="single"/>
        </w:rPr>
        <w:t xml:space="preserve">(f) The authority shall adopt, amend, or rescind such administrative rules as necessary to facilitate calculation and payment of the amounts described in this subsection, including for clients of medicaid managed care organizations.</w:t>
      </w:r>
    </w:p>
    <w:p>
      <w:pPr>
        <w:spacing w:before="0" w:after="0" w:line="408" w:lineRule="exact"/>
        <w:ind w:left="0" w:right="0" w:firstLine="576"/>
        <w:jc w:val="left"/>
      </w:pPr>
      <w:r>
        <w:rPr>
          <w:u w:val="single"/>
        </w:rPr>
        <w:t xml:space="preserve">(g) The authority shall adopt rules requiring medicaid managed care organizations to establish specific and uniform administrative and review processes for payment under this subsection.</w:t>
      </w:r>
    </w:p>
    <w:p>
      <w:pPr>
        <w:spacing w:before="0" w:after="0" w:line="408" w:lineRule="exact"/>
        <w:ind w:left="0" w:right="0" w:firstLine="576"/>
        <w:jc w:val="left"/>
      </w:pPr>
      <w:r>
        <w:rPr>
          <w:u w:val="single"/>
        </w:rPr>
        <w:t xml:space="preserve">(h) For patients meeting the criteria in (a)(ii)(A) of this subsection, hospitals must utilize swing beds or skilled nursing beds to the extent the services are available within their facility and the associated reimbursement methodology prior to the billing under the methodology in (a) of this subsection, if the hospital determines that such swing bed or skilled nursing bed placement is appropriate for the patient's care needs, the patient is appropriate for the existing patient mix, and appropriate staffing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2023, the health care authority shall submit a report to the fiscal committees of the legislature containing information about the rate established in RCW 74.09.520(12) and the services that are included in the rate.</w:t>
      </w:r>
    </w:p>
    <w:p/>
    <w:p>
      <w:pPr>
        <w:jc w:val="center"/>
      </w:pPr>
      <w:r>
        <w:rPr>
          <w:b/>
        </w:rPr>
        <w:t>--- END ---</w:t>
      </w:r>
    </w:p>
    <w:sectPr>
      <w:pgNumType w:start="1"/>
      <w:footerReference xmlns:r="http://schemas.openxmlformats.org/officeDocument/2006/relationships" r:id="Ra4687b98698b46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b765ac16a41d7" /><Relationship Type="http://schemas.openxmlformats.org/officeDocument/2006/relationships/footer" Target="/word/footer1.xml" Id="Ra4687b98698b46c4" /></Relationships>
</file>