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c4ea14686b42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22,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5079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Braun, Liias, Boehnke, Dozier, Holy, King, Mullet, Muzzall, Saldaña, Schoesler, Wagoner, and Wellman</w:t>
      </w:r>
    </w:p>
    <w:p/>
    <w:p>
      <w:r>
        <w:rPr>
          <w:t xml:space="preserve">Prefiled 12/20/22.</w:t>
        </w:rPr>
      </w:r>
      <w:r>
        <w:rPr>
          <w:t xml:space="preserve">Read first time 01/09/23.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date by which tuition operating fees are established; and amending RCW 28B.15.067.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2021 c 200 s 9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w:t>
      </w:r>
      <w:r>
        <w:t>((</w:t>
      </w:r>
      <w:r>
        <w:rPr>
          <w:strike/>
        </w:rPr>
        <w:t xml:space="preserve">Tuition</w:t>
      </w:r>
      <w:r>
        <w:t>))</w:t>
      </w:r>
      <w:r>
        <w:rPr/>
        <w:t xml:space="preserve"> </w:t>
      </w:r>
      <w:r>
        <w:rPr>
          <w:u w:val="single"/>
        </w:rPr>
        <w:t xml:space="preserve">The maximum increase in tuition</w:t>
      </w:r>
      <w:r>
        <w:rPr/>
        <w:t xml:space="preserve"> operating fees for resident undergraduates at institutions of higher education as defined in RCW 28B.10.016, excluding applied baccalaureate degrees as defined in RCW 28B.50.030, </w:t>
      </w:r>
      <w:r>
        <w:rPr>
          <w:u w:val="single"/>
        </w:rPr>
        <w:t xml:space="preserve">shall be calculated by the office of financial management and transmitted to the institutions of higher education by October 1st of each year for the following academic year. Tuition operating fees for resident undergraduates at institutions of higher education as defined in RCW 28B.10.016, excluding applied baccalaureate degrees as defined in RCW 28B.50.030,</w:t>
      </w:r>
      <w:r>
        <w:rPr/>
        <w:t xml:space="preserve"> may increase by no more than the average annual percentage growth rate in the median hourly wage for Washington </w:t>
      </w:r>
      <w:r>
        <w:t>((</w:t>
      </w:r>
      <w:r>
        <w:rPr>
          <w:strike/>
        </w:rPr>
        <w:t xml:space="preserve">for the previous fourteen years</w:t>
      </w:r>
      <w:r>
        <w:t>))</w:t>
      </w:r>
      <w:r>
        <w:rPr/>
        <w:t xml:space="preserve"> as the wage is determined by the federal bureau of labor statistics </w:t>
      </w:r>
      <w:r>
        <w:rPr>
          <w:u w:val="single"/>
        </w:rPr>
        <w:t xml:space="preserve">and calculated based on the previous 14 years prior to the transmittal date by the office of financial management</w:t>
      </w:r>
      <w:r>
        <w:rPr/>
        <w:t xml:space="preserve">.</w:t>
      </w:r>
    </w:p>
    <w:p>
      <w:pPr>
        <w:spacing w:before="0" w:after="0" w:line="408" w:lineRule="exact"/>
        <w:ind w:left="0" w:right="0" w:firstLine="576"/>
        <w:jc w:val="left"/>
      </w:pPr>
      <w:r>
        <w:rPr/>
        <w:t xml:space="preserve">(3)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(4)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(5)(a)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(6)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
      <w:pPr>
        <w:jc w:val="center"/>
      </w:pPr>
      <w:r>
        <w:rPr>
          <w:b/>
        </w:rPr>
        <w:t>--- END ---</w:t>
      </w:r>
    </w:p>
    <w:sectPr>
      <w:pgNumType w:start="1"/>
      <w:footerReference xmlns:r="http://schemas.openxmlformats.org/officeDocument/2006/relationships" r:id="R0c9835f5a0d941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af736c99e345d6" /><Relationship Type="http://schemas.openxmlformats.org/officeDocument/2006/relationships/footer" Target="/word/footer1.xml" Id="R0c9835f5a0d94170" /></Relationships>
</file>