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9dbdd5bba47e7" /></Relationships>
</file>

<file path=word/document.xml><?xml version="1.0" encoding="utf-8"?>
<w:document xmlns:w="http://schemas.openxmlformats.org/wordprocessingml/2006/main">
  <w:body>
    <w:p>
      <w:r>
        <w:t>S-3706.1</w:t>
      </w:r>
    </w:p>
    <w:p>
      <w:pPr>
        <w:jc w:val="center"/>
      </w:pPr>
      <w:r>
        <w:t>_______________________________________________</w:t>
      </w:r>
    </w:p>
    <w:p/>
    <w:p>
      <w:pPr>
        <w:jc w:val="center"/>
      </w:pPr>
      <w:r>
        <w:rPr>
          <w:b/>
        </w:rPr>
        <w:t>SENATE JOINT MEMORIAL 8009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Hasegawa, Wagoner, Dozier, Fortunato, Frame, and Stanford</w:t>
      </w:r>
    </w:p>
    <w:p/>
    <w:p>
      <w:r>
        <w:rPr>
          <w:t xml:space="preserve">Prefiled 12/22/23.</w:t>
        </w:rPr>
      </w:r>
      <w:r>
        <w:rPr>
          <w:t xml:space="preserve">Read first time 01/08/24.  </w:t>
        </w:rPr>
      </w:r>
      <w:r>
        <w:rPr>
          <w:t xml:space="preserve">Referred to Committee on Business, Financial Services, Gaming &amp; Trade.</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and transatlantic cargo shipped to the United States via rail or roads from ports in Mexico and Canada; and</w:t>
      </w:r>
    </w:p>
    <w:p>
      <w:pPr>
        <w:spacing w:before="0" w:after="0" w:line="408" w:lineRule="exact"/>
        <w:ind w:left="0" w:right="0" w:firstLine="576"/>
        <w:jc w:val="left"/>
      </w:pPr>
      <w:r>
        <w:rPr/>
        <w:t xml:space="preserve">WHEREAS, The ability to move transpacific and transatlantic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maintenance-related investments, collections have far exceeded fund appropriation and surplus collections, resulting in a surplus of billions of dollars in the harbor maintenance trust fund;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coast, and Columbia river ports; and</w:t>
      </w:r>
    </w:p>
    <w:p>
      <w:pPr>
        <w:spacing w:before="0" w:after="0" w:line="408" w:lineRule="exact"/>
        <w:ind w:left="0" w:right="0" w:firstLine="576"/>
        <w:jc w:val="left"/>
      </w:pPr>
      <w:r>
        <w:rPr/>
        <w:t xml:space="preserve">WHEREAS, Certain deep water ports on the west coast that require no or little dredging, including the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 and</w:t>
      </w:r>
    </w:p>
    <w:p>
      <w:pPr>
        <w:spacing w:before="0" w:after="0" w:line="408" w:lineRule="exact"/>
        <w:ind w:left="0" w:right="0" w:firstLine="576"/>
        <w:jc w:val="left"/>
      </w:pPr>
      <w:r>
        <w:rPr/>
        <w:t xml:space="preserve">WHEREAS, Congress passed substantial harbor maintenance tax reform legislation in 2020, the implementation of which requires additional actions by congressional appropriators and the US Army Corps of Engineers;</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appropriate the full amount of annual harbor maintenance tax revenues and unspent tax collections from the harbor maintenance trust fund consistent with the budget cap adjustments enacted in the CARES Act and the Water Resources Development Act of 2020.</w:t>
      </w:r>
    </w:p>
    <w:p>
      <w:pPr>
        <w:spacing w:before="0" w:after="0" w:line="408" w:lineRule="exact"/>
        <w:ind w:left="0" w:right="0" w:firstLine="576"/>
        <w:jc w:val="left"/>
      </w:pPr>
      <w:r>
        <w:rPr/>
        <w:t xml:space="preserve">(2) Congress direct the US Army Corps of Engineers to allocate the specified amounts for donor and energy transfer ports consistent with the Water Resources Development Act of 2020 and appropriate the amounts specified in section 101 of the Water Resources Development Act of 2020 to carry out subsection (c) of section 2106 of the Water Resources Reform and Development Act of 2014.</w:t>
      </w:r>
    </w:p>
    <w:p>
      <w:pPr>
        <w:spacing w:before="0" w:after="0" w:line="408" w:lineRule="exact"/>
        <w:ind w:left="0" w:right="0" w:firstLine="576"/>
        <w:jc w:val="left"/>
      </w:pPr>
      <w:r>
        <w:rPr/>
        <w:t xml:space="preserve">(3) The US Army Corps of Engineers allocate in its annual work plan 12 percent of annual harbor maintenance trust fund appropriations directly to eligible donor and energy transfer ports, as well as additional amounts to carry out subsection (c) of section 2106 of the Water Resources Reform and Development Act of 2014.</w:t>
      </w:r>
    </w:p>
    <w:p>
      <w:pPr>
        <w:spacing w:before="0" w:after="0" w:line="408" w:lineRule="exact"/>
        <w:ind w:left="0" w:right="0" w:firstLine="576"/>
        <w:jc w:val="left"/>
      </w:pPr>
      <w:r>
        <w:rPr/>
        <w:t xml:space="preserve">(4) The US Army Corps of Engineers shall collect appropriate data and reinstate publication of annual reports, which were terminated in FY 2006, on the status of the harbor maintenance trust fund. This report should also include an analysis of the impact of the harbor maintenance tax in disincentivizing shippers from using US ports and diverting freight to foreign ports, thereby avoiding the tax.</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143ab3d67cd74f3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4c3e4b56054df9" /><Relationship Type="http://schemas.openxmlformats.org/officeDocument/2006/relationships/footer" Target="/word/footer1.xml" Id="R143ab3d67cd74f3a" /></Relationships>
</file>