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12cd7dbfe74865" /></Relationships>
</file>

<file path=word/document.xml><?xml version="1.0" encoding="utf-8"?>
<w:document xmlns:w="http://schemas.openxmlformats.org/wordprocessingml/2006/main">
  <w:body>
    <w:p>
      <w:r>
        <w:t>S-4499.2</w:t>
      </w:r>
    </w:p>
    <w:p>
      <w:pPr>
        <w:jc w:val="center"/>
      </w:pPr>
      <w:r>
        <w:t>_______________________________________________</w:t>
      </w:r>
    </w:p>
    <w:p/>
    <w:p>
      <w:pPr>
        <w:jc w:val="center"/>
      </w:pPr>
      <w:r>
        <w:rPr>
          <w:b/>
        </w:rPr>
        <w:t>SUBSTITUTE SENATE BILL 6273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Boehnke, Dozier, Gildon,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an audit of the juvenile rehabilitation system;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w:t>
      </w:r>
    </w:p>
    <w:p>
      <w:pPr>
        <w:spacing w:before="0" w:after="0" w:line="408" w:lineRule="exact"/>
        <w:ind w:left="0" w:right="0" w:firstLine="576"/>
        <w:jc w:val="left"/>
      </w:pPr>
      <w:r>
        <w:rPr/>
        <w:t xml:space="preserve">(a) Review the department of children, youth, and families juvenile rehabilitation's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t xml:space="preserve">(b)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t xml:space="preserve">(c)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t xml:space="preserve">(d)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t xml:space="preserve">(e)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t xml:space="preserve">(f) Assess gender equity regarding education, employment, and career options for female youth;</w:t>
      </w:r>
    </w:p>
    <w:p>
      <w:pPr>
        <w:spacing w:before="0" w:after="0" w:line="408" w:lineRule="exact"/>
        <w:ind w:left="0" w:right="0" w:firstLine="576"/>
        <w:jc w:val="left"/>
      </w:pPr>
      <w:r>
        <w:rPr/>
        <w:t xml:space="preserve">(g) Review how staffing impacts youth on youth conflict and safety;</w:t>
      </w:r>
    </w:p>
    <w:p>
      <w:pPr>
        <w:spacing w:before="0" w:after="0" w:line="408" w:lineRule="exact"/>
        <w:ind w:left="0" w:right="0" w:firstLine="576"/>
        <w:jc w:val="left"/>
      </w:pPr>
      <w:r>
        <w:rPr/>
        <w:t xml:space="preserve">(h)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t xml:space="preserve">(i)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t xml:space="preserve">(j) Review the impacts of changes in average daily population, longer lengths of stay, longer sentences, increases in maximum age of release, increases in more serious offense types and adult sentences, and related effects of juvenile rehabilitation to 25 legislation.</w:t>
      </w:r>
    </w:p>
    <w:p>
      <w:pPr>
        <w:spacing w:before="0" w:after="0" w:line="408" w:lineRule="exact"/>
        <w:ind w:left="0" w:right="0" w:firstLine="576"/>
        <w:jc w:val="left"/>
      </w:pPr>
      <w:r>
        <w:rPr/>
        <w:t xml:space="preserve">(2) The joint legislative audit and review committee shall report its findings and recommendations to the governor and the appropriate committees of the legislature by June 30, 2026. The report shall include recommendations on supporting juvenile rehabilitation's efforts to gradually move young people from carceral settings to least restrictive environments to improve positive reentry outcomes.</w:t>
      </w:r>
    </w:p>
    <w:p>
      <w:pPr>
        <w:spacing w:before="0" w:after="0" w:line="408" w:lineRule="exact"/>
        <w:ind w:left="0" w:right="0" w:firstLine="576"/>
        <w:jc w:val="left"/>
      </w:pPr>
      <w:r>
        <w:rPr/>
        <w:t xml:space="preserve">(3) This section expires December 31, 2026.</w:t>
      </w:r>
    </w:p>
    <w:p/>
    <w:p>
      <w:pPr>
        <w:jc w:val="center"/>
      </w:pPr>
      <w:r>
        <w:rPr>
          <w:b/>
        </w:rPr>
        <w:t>--- END ---</w:t>
      </w:r>
    </w:p>
    <w:sectPr>
      <w:pgNumType w:start="1"/>
      <w:footerReference xmlns:r="http://schemas.openxmlformats.org/officeDocument/2006/relationships" r:id="R2dc2101bcd4845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89c775baeb43f9" /><Relationship Type="http://schemas.openxmlformats.org/officeDocument/2006/relationships/footer" Target="/word/footer1.xml" Id="R2dc2101bcd4845c0" /></Relationships>
</file>