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2cde3bf8ff4f40" /></Relationships>
</file>

<file path=word/document.xml><?xml version="1.0" encoding="utf-8"?>
<w:document xmlns:w="http://schemas.openxmlformats.org/wordprocessingml/2006/main">
  <w:body>
    <w:p>
      <w:r>
        <w:t>S-3993.1</w:t>
      </w:r>
    </w:p>
    <w:p>
      <w:pPr>
        <w:jc w:val="center"/>
      </w:pPr>
      <w:r>
        <w:t>_______________________________________________</w:t>
      </w:r>
    </w:p>
    <w:p/>
    <w:p>
      <w:pPr>
        <w:jc w:val="center"/>
      </w:pPr>
      <w:r>
        <w:rPr>
          <w:b/>
        </w:rPr>
        <w:t>SENATE BILL 6230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Rivers, Van De Wege, Kauffman, Muzzall, and Lovick</w:t>
      </w:r>
    </w:p>
    <w:p/>
    <w:p>
      <w:r>
        <w:rPr>
          <w:t xml:space="preserve">Read first time 01/15/24.  </w:t>
        </w:rPr>
      </w:r>
      <w:r>
        <w:rPr>
          <w:t xml:space="preserve">Referred to Committee on Local Government, Land Use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option for impacted taxing districts to provide a portion of their new revenue to support any tax increment area proposed within their jurisdiction and clarifying that a tax increment area must be dissolved when all bond obligations are paid; and amending RCW 39.114.020 and 39.114.050.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114</w:t>
      </w:r>
      <w:r>
        <w:rPr/>
        <w:t xml:space="preserve">.</w:t>
      </w:r>
      <w:r>
        <w:t xml:space="preserve">020</w:t>
      </w:r>
      <w:r>
        <w:rPr/>
        <w:t xml:space="preserve"> and 2023 c 354 s 2 are each amended to read as follows:</w:t>
      </w:r>
    </w:p>
    <w:p>
      <w:pPr>
        <w:spacing w:before="0" w:after="0" w:line="408" w:lineRule="exact"/>
        <w:ind w:left="0" w:right="0" w:firstLine="576"/>
        <w:jc w:val="left"/>
      </w:pPr>
      <w:r>
        <w:rPr/>
        <w:t xml:space="preserve">(1) A local government may designate an increment area under this chapter and use the tax allocation revenues to pay public improvement costs, subject to the following conditions:</w:t>
      </w:r>
    </w:p>
    <w:p>
      <w:pPr>
        <w:spacing w:before="0" w:after="0" w:line="408" w:lineRule="exact"/>
        <w:ind w:left="0" w:right="0" w:firstLine="576"/>
        <w:jc w:val="left"/>
      </w:pPr>
      <w:r>
        <w:rPr/>
        <w:t xml:space="preserve">(a) The local government must adopt an ordinance designating an increment area within its boundaries and describing the public improvements proposed to be paid for, or financed with, tax allocation revenues;</w:t>
      </w:r>
    </w:p>
    <w:p>
      <w:pPr>
        <w:spacing w:before="0" w:after="0" w:line="408" w:lineRule="exact"/>
        <w:ind w:left="0" w:right="0" w:firstLine="576"/>
        <w:jc w:val="left"/>
      </w:pPr>
      <w:r>
        <w:rPr/>
        <w:t xml:space="preserve">(b) The local government may not designate increment area boundaries such that the entirety of its territory falls within an increment area;</w:t>
      </w:r>
    </w:p>
    <w:p>
      <w:pPr>
        <w:spacing w:before="0" w:after="0" w:line="408" w:lineRule="exact"/>
        <w:ind w:left="0" w:right="0" w:firstLine="576"/>
        <w:jc w:val="left"/>
      </w:pPr>
      <w:r>
        <w:rPr/>
        <w:t xml:space="preserve">(c) The increment area may not have an assessed valuation of more than $200,000,000 or more than 20 percent of the sponsoring jurisdiction's total assessed valuation, whichever is less, when the ordinance is passed. If a sponsoring jurisdiction creates two increment areas, the total combined assessed valuation in both of the two increment areas may not equal more than $200,000,000 or more than 20 percent of the sponsoring jurisdiction's total assessed valuation, whichever is less, when the ordinances are passed creating the increment areas;</w:t>
      </w:r>
    </w:p>
    <w:p>
      <w:pPr>
        <w:spacing w:before="0" w:after="0" w:line="408" w:lineRule="exact"/>
        <w:ind w:left="0" w:right="0" w:firstLine="576"/>
        <w:jc w:val="left"/>
      </w:pPr>
      <w:r>
        <w:rPr/>
        <w:t xml:space="preserve">(d) A local government can create no more than two active increment areas at any given time and they may not physically overlap by including the same land in more than one increment area at any time;</w:t>
      </w:r>
    </w:p>
    <w:p>
      <w:pPr>
        <w:spacing w:before="0" w:after="0" w:line="408" w:lineRule="exact"/>
        <w:ind w:left="0" w:right="0" w:firstLine="576"/>
        <w:jc w:val="left"/>
      </w:pPr>
      <w:r>
        <w:rPr/>
        <w:t xml:space="preserve">(e) The ordinance must set a sunset date for the increment area, which may be no more than 25 years after the first year in which tax allocation revenues are collected from the increment area</w:t>
      </w:r>
      <w:r>
        <w:rPr>
          <w:u w:val="single"/>
        </w:rPr>
        <w:t xml:space="preserve">, except that the increment area expires prior to the sunset date if tax allocation revenues are no longer necessary or obligated to pay any bonded indebtedness issued solely to fund the public improvement costs pursuant to RCW 39.114.050</w:t>
      </w:r>
      <w:r>
        <w:rPr/>
        <w:t xml:space="preserve">;</w:t>
      </w:r>
    </w:p>
    <w:p>
      <w:pPr>
        <w:spacing w:before="0" w:after="0" w:line="408" w:lineRule="exact"/>
        <w:ind w:left="0" w:right="0" w:firstLine="576"/>
        <w:jc w:val="left"/>
      </w:pPr>
      <w:r>
        <w:rPr/>
        <w:t xml:space="preserve">(f) The ordinance must identify the public improvements to be financed and indicate whether the local government intends to issue bonds or other obligations, payable in whole or in part, from tax allocation revenues to finance the public improvement costs, and must estimate the maximum amount of obligations contemplated;</w:t>
      </w:r>
    </w:p>
    <w:p>
      <w:pPr>
        <w:spacing w:before="0" w:after="0" w:line="408" w:lineRule="exact"/>
        <w:ind w:left="0" w:right="0" w:firstLine="576"/>
        <w:jc w:val="left"/>
      </w:pPr>
      <w:r>
        <w:rPr/>
        <w:t xml:space="preserve">(g) The ordinance must provide that the increment area takes effect on June 1st following the adoption of the ordinance in (a) of this subsection;</w:t>
      </w:r>
    </w:p>
    <w:p>
      <w:pPr>
        <w:spacing w:before="0" w:after="0" w:line="408" w:lineRule="exact"/>
        <w:ind w:left="0" w:right="0" w:firstLine="576"/>
        <w:jc w:val="left"/>
      </w:pPr>
      <w:r>
        <w:rPr/>
        <w:t xml:space="preserve">(h) The sponsoring jurisdiction may not add additional public improvements to the project after adoption of the ordinance creating the increment area or change the boundaries of the increment area. The sponsoring jurisdiction may expand, alter, or add to the original public improvements when doing so is necessary to assure the originally approved improvements can be constructed or operated;</w:t>
      </w:r>
    </w:p>
    <w:p>
      <w:pPr>
        <w:spacing w:before="0" w:after="0" w:line="408" w:lineRule="exact"/>
        <w:ind w:left="0" w:right="0" w:firstLine="576"/>
        <w:jc w:val="left"/>
      </w:pPr>
      <w:r>
        <w:rPr/>
        <w:t xml:space="preserve">(i) The ordinance must impose a deadline by which commencement of construction of the public improvements shall begin, which deadline must be at least five years into the future and for which extensions shall be made available for good cause; and</w:t>
      </w:r>
    </w:p>
    <w:p>
      <w:pPr>
        <w:spacing w:before="0" w:after="0" w:line="408" w:lineRule="exact"/>
        <w:ind w:left="0" w:right="0" w:firstLine="576"/>
        <w:jc w:val="left"/>
      </w:pPr>
      <w:r>
        <w:rPr/>
        <w:t xml:space="preserve">(j) The local government must make a finding that:</w:t>
      </w:r>
    </w:p>
    <w:p>
      <w:pPr>
        <w:spacing w:before="0" w:after="0" w:line="408" w:lineRule="exact"/>
        <w:ind w:left="0" w:right="0" w:firstLine="576"/>
        <w:jc w:val="left"/>
      </w:pPr>
      <w:r>
        <w:rPr/>
        <w:t xml:space="preserve">(i) The public improvements proposed to be paid or financed with tax allocation revenues are expected to encourage private development within the increment area and to increase the assessed value of real property within the increment area;</w:t>
      </w:r>
    </w:p>
    <w:p>
      <w:pPr>
        <w:spacing w:before="0" w:after="0" w:line="408" w:lineRule="exact"/>
        <w:ind w:left="0" w:right="0" w:firstLine="576"/>
        <w:jc w:val="left"/>
      </w:pPr>
      <w:r>
        <w:rPr/>
        <w:t xml:space="preserve">(ii) Private development that is anticipated to occur within the increment area as a result of the proposed public improvements will be permitted consistent with the permitting jurisdiction's applicable zoning and development standards;</w:t>
      </w:r>
    </w:p>
    <w:p>
      <w:pPr>
        <w:spacing w:before="0" w:after="0" w:line="408" w:lineRule="exact"/>
        <w:ind w:left="0" w:right="0" w:firstLine="576"/>
        <w:jc w:val="left"/>
      </w:pPr>
      <w:r>
        <w:rPr/>
        <w:t xml:space="preserve">(iii) The private development would not reasonably be expected to occur solely through private investment within the reasonably foreseeable future without the proposed public improvements; and</w:t>
      </w:r>
    </w:p>
    <w:p>
      <w:pPr>
        <w:spacing w:before="0" w:after="0" w:line="408" w:lineRule="exact"/>
        <w:ind w:left="0" w:right="0" w:firstLine="576"/>
        <w:jc w:val="left"/>
      </w:pPr>
      <w:r>
        <w:rPr/>
        <w:t xml:space="preserve">(iv) The increased assessed value within the increment area that could reasonably be expected to occur without the proposed public improvements would be less than the increase in the assessed value estimated to result from the proposed development with the proposed public improvements.</w:t>
      </w:r>
    </w:p>
    <w:p>
      <w:pPr>
        <w:spacing w:before="0" w:after="0" w:line="408" w:lineRule="exact"/>
        <w:ind w:left="0" w:right="0" w:firstLine="576"/>
        <w:jc w:val="left"/>
      </w:pPr>
      <w:r>
        <w:rPr/>
        <w:t xml:space="preserve">(2) In considering whether to designate an increment area, the legislative body of the local government must prepare a project analysis that shall include, but need not be limited to, the following:</w:t>
      </w:r>
    </w:p>
    <w:p>
      <w:pPr>
        <w:spacing w:before="0" w:after="0" w:line="408" w:lineRule="exact"/>
        <w:ind w:left="0" w:right="0" w:firstLine="576"/>
        <w:jc w:val="left"/>
      </w:pPr>
      <w:r>
        <w:rPr/>
        <w:t xml:space="preserve">(a) A statement of objectives of the local government for the designated increment area;</w:t>
      </w:r>
    </w:p>
    <w:p>
      <w:pPr>
        <w:spacing w:before="0" w:after="0" w:line="408" w:lineRule="exact"/>
        <w:ind w:left="0" w:right="0" w:firstLine="576"/>
        <w:jc w:val="left"/>
      </w:pPr>
      <w:r>
        <w:rPr/>
        <w:t xml:space="preserve">(b) A statement as to the property within the increment area, if any, that the local government may intend to acquire;</w:t>
      </w:r>
    </w:p>
    <w:p>
      <w:pPr>
        <w:spacing w:before="0" w:after="0" w:line="408" w:lineRule="exact"/>
        <w:ind w:left="0" w:right="0" w:firstLine="576"/>
        <w:jc w:val="left"/>
      </w:pPr>
      <w:r>
        <w:rPr/>
        <w:t xml:space="preserve">(c) The duration of the increment area;</w:t>
      </w:r>
    </w:p>
    <w:p>
      <w:pPr>
        <w:spacing w:before="0" w:after="0" w:line="408" w:lineRule="exact"/>
        <w:ind w:left="0" w:right="0" w:firstLine="576"/>
        <w:jc w:val="left"/>
      </w:pPr>
      <w:r>
        <w:rPr/>
        <w:t xml:space="preserve">(d) Identification of all parcels to be included in the area;</w:t>
      </w:r>
    </w:p>
    <w:p>
      <w:pPr>
        <w:spacing w:before="0" w:after="0" w:line="408" w:lineRule="exact"/>
        <w:ind w:left="0" w:right="0" w:firstLine="576"/>
        <w:jc w:val="left"/>
      </w:pPr>
      <w:r>
        <w:rPr/>
        <w:t xml:space="preserve">(e) A description of the expected private development within the increment area, including a comparison of scenarios with the proposed public improvements and without the proposed public improvements;</w:t>
      </w:r>
    </w:p>
    <w:p>
      <w:pPr>
        <w:spacing w:before="0" w:after="0" w:line="408" w:lineRule="exact"/>
        <w:ind w:left="0" w:right="0" w:firstLine="576"/>
        <w:jc w:val="left"/>
      </w:pPr>
      <w:r>
        <w:rPr/>
        <w:t xml:space="preserve">(f) A description of the public improvements, estimated public improvement costs, and the estimated amount of bonds or other obligations expected to be issued to finance the public improvement costs and repaid with tax allocation revenues;</w:t>
      </w:r>
    </w:p>
    <w:p>
      <w:pPr>
        <w:spacing w:before="0" w:after="0" w:line="408" w:lineRule="exact"/>
        <w:ind w:left="0" w:right="0" w:firstLine="576"/>
        <w:jc w:val="left"/>
      </w:pPr>
      <w:r>
        <w:rPr/>
        <w:t xml:space="preserve">(g) The assessed value of real property listed on the tax roll as certified by the county assessor under RCW 84.52.080 from within the increment area and an estimate of the increment value and tax allocation revenues expected to be generated;</w:t>
      </w:r>
    </w:p>
    <w:p>
      <w:pPr>
        <w:spacing w:before="0" w:after="0" w:line="408" w:lineRule="exact"/>
        <w:ind w:left="0" w:right="0" w:firstLine="576"/>
        <w:jc w:val="left"/>
      </w:pPr>
      <w:r>
        <w:rPr/>
        <w:t xml:space="preserve">(h) An estimate of the job creation reasonably expected to result from the public improvements and the private development expected to occur in the increment area; and</w:t>
      </w:r>
    </w:p>
    <w:p>
      <w:pPr>
        <w:spacing w:before="0" w:after="0" w:line="408" w:lineRule="exact"/>
        <w:ind w:left="0" w:right="0" w:firstLine="576"/>
        <w:jc w:val="left"/>
      </w:pPr>
      <w:r>
        <w:rPr/>
        <w:t xml:space="preserve">(i) An assessment of any impacts and any necessary mitigation to address the impacts identified on the following:</w:t>
      </w:r>
    </w:p>
    <w:p>
      <w:pPr>
        <w:spacing w:before="0" w:after="0" w:line="408" w:lineRule="exact"/>
        <w:ind w:left="0" w:right="0" w:firstLine="576"/>
        <w:jc w:val="left"/>
      </w:pPr>
      <w:r>
        <w:rPr/>
        <w:t xml:space="preserve">(i) Affordable and low-income housing;</w:t>
      </w:r>
    </w:p>
    <w:p>
      <w:pPr>
        <w:spacing w:before="0" w:after="0" w:line="408" w:lineRule="exact"/>
        <w:ind w:left="0" w:right="0" w:firstLine="576"/>
        <w:jc w:val="left"/>
      </w:pPr>
      <w:r>
        <w:rPr/>
        <w:t xml:space="preserve">(ii) The local business community;</w:t>
      </w:r>
    </w:p>
    <w:p>
      <w:pPr>
        <w:spacing w:before="0" w:after="0" w:line="408" w:lineRule="exact"/>
        <w:ind w:left="0" w:right="0" w:firstLine="576"/>
        <w:jc w:val="left"/>
      </w:pPr>
      <w:r>
        <w:rPr/>
        <w:t xml:space="preserve">(iii) The local school districts; and</w:t>
      </w:r>
    </w:p>
    <w:p>
      <w:pPr>
        <w:spacing w:before="0" w:after="0" w:line="408" w:lineRule="exact"/>
        <w:ind w:left="0" w:right="0" w:firstLine="576"/>
        <w:jc w:val="left"/>
      </w:pPr>
      <w:r>
        <w:rPr/>
        <w:t xml:space="preserve">(iv) The local fire service </w:t>
      </w:r>
      <w:r>
        <w:rPr>
          <w:u w:val="single"/>
        </w:rPr>
        <w:t xml:space="preserve">and emergency medical services</w:t>
      </w:r>
      <w:r>
        <w:rPr/>
        <w:t xml:space="preserve">.</w:t>
      </w:r>
    </w:p>
    <w:p>
      <w:pPr>
        <w:spacing w:before="0" w:after="0" w:line="408" w:lineRule="exact"/>
        <w:ind w:left="0" w:right="0" w:firstLine="576"/>
        <w:jc w:val="left"/>
      </w:pPr>
      <w:r>
        <w:rPr/>
        <w:t xml:space="preserve">(3) The local government may charge a private developer, who agrees to participate in creating the increment area, a fee sufficient to cover the cost of the project analysis and establishing the increment area, including staff time, professionals and consultants, and other administrative costs related to establishing the increment area.</w:t>
      </w:r>
    </w:p>
    <w:p>
      <w:pPr>
        <w:spacing w:before="0" w:after="0" w:line="408" w:lineRule="exact"/>
        <w:ind w:left="0" w:right="0" w:firstLine="576"/>
        <w:jc w:val="left"/>
      </w:pPr>
      <w:r>
        <w:rPr/>
        <w:t xml:space="preserve">(4) Nothing in this section prohibits a local government from entering into an agreement under chapter 39.34 RCW with another local government for the administration or other activities related to tax increment financing authorized under this section.</w:t>
      </w:r>
    </w:p>
    <w:p>
      <w:pPr>
        <w:spacing w:before="0" w:after="0" w:line="408" w:lineRule="exact"/>
        <w:ind w:left="0" w:right="0" w:firstLine="576"/>
        <w:jc w:val="left"/>
      </w:pPr>
      <w:r>
        <w:rPr/>
        <w:t xml:space="preserve">(5) </w:t>
      </w:r>
      <w:r>
        <w:t>((</w:t>
      </w:r>
      <w:r>
        <w:rPr>
          <w:strike/>
        </w:rPr>
        <w:t xml:space="preserve">If the project analysis indicates that an increment area will impact at least 20 percent of the assessed value in a fire protection district or regional fire protection service authority, or the fire service agency's annual report demonstrates an increase in the level of service directly related to the increment area, the local government must negotiate a mitigation plan with the fire protection district or regional fire protection service authority to address level of service issues in the increment area.</w:t>
      </w:r>
    </w:p>
    <w:p>
      <w:pPr>
        <w:spacing w:before="0" w:after="0" w:line="408" w:lineRule="exact"/>
        <w:ind w:left="0" w:right="0" w:firstLine="576"/>
        <w:jc w:val="left"/>
      </w:pPr>
      <w:r>
        <w:rPr>
          <w:strike/>
        </w:rPr>
        <w:t xml:space="preserve">(6)</w:t>
      </w:r>
      <w:r>
        <w:t>))</w:t>
      </w:r>
      <w:r>
        <w:rPr/>
        <w:t xml:space="preserve"> The local government may reimburse the assessor and treasurer for their costs as provided in RCW 39.114.010(6)(e).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Prior to the adoption of an ordinance authorizing creation of an increment area, the local government must:</w:t>
      </w:r>
    </w:p>
    <w:p>
      <w:pPr>
        <w:spacing w:before="0" w:after="0" w:line="408" w:lineRule="exact"/>
        <w:ind w:left="0" w:right="0" w:firstLine="576"/>
        <w:jc w:val="left"/>
      </w:pPr>
      <w:r>
        <w:rPr/>
        <w:t xml:space="preserve">(a) Hold at least two public briefings for the community solely on the tax increment project that include the description of the increment area, the public improvements proposed to be financed with the tax allocation revenues, and a detailed estimate of tax revenues for the participating local governments and taxing districts, including the amounts allocated to the increment public improvements. The briefings must be announced at least two weeks prior to the date being held, including publishing in a legal newspaper of general circulation and posting information on the local government website and all local government social media sites; and</w:t>
      </w:r>
    </w:p>
    <w:p>
      <w:pPr>
        <w:spacing w:before="0" w:after="0" w:line="408" w:lineRule="exact"/>
        <w:ind w:left="0" w:right="0" w:firstLine="576"/>
        <w:jc w:val="left"/>
      </w:pPr>
      <w:r>
        <w:rPr/>
        <w:t xml:space="preserve">(b) Submit the project analysis to the office of the treasurer for review and consider any comments that the treasurer may provide upon completion of their review of the project analysis as provided under this subsection. The treasurer must complete the review within 90 days of receipt of the project analysis and may consult with other agencies and outside experts as necessary. Upon completing their review, the treasurer must promptly provide to the local government any comments regarding suggested revisions or enhancements to the project analysis that the treasurer deems appropriate based on the requirements in subsection (2) of this section.</w:t>
      </w:r>
    </w:p>
    <w:p>
      <w:pPr>
        <w:spacing w:before="0" w:after="0" w:line="408" w:lineRule="exact"/>
        <w:ind w:left="0" w:right="0" w:firstLine="576"/>
        <w:jc w:val="left"/>
      </w:pPr>
      <w:r>
        <w:rPr>
          <w:u w:val="single"/>
        </w:rPr>
        <w:t xml:space="preserve">(7) A governing body of any taxing district within the increment area must approve, by majority vote and according to the governing body's ordinance and publication procedures, the taxing district's partial or full participation in the tax increment project. If the governing body does not approve its participation, the taxing district's property taxes are not subject to apportionment under this chapter and the taxing district is excluded from the provisions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114</w:t>
      </w:r>
      <w:r>
        <w:rPr/>
        <w:t xml:space="preserve">.</w:t>
      </w:r>
      <w:r>
        <w:t xml:space="preserve">050</w:t>
      </w:r>
      <w:r>
        <w:rPr/>
        <w:t xml:space="preserve"> and 2023 c 354 s 4 are each amended to read as follows:</w:t>
      </w:r>
    </w:p>
    <w:p>
      <w:pPr>
        <w:spacing w:before="0" w:after="0" w:line="408" w:lineRule="exact"/>
        <w:ind w:left="0" w:right="0" w:firstLine="576"/>
        <w:jc w:val="left"/>
      </w:pPr>
      <w:r>
        <w:rPr/>
        <w:t xml:space="preserve">Apportionment of taxes shall be as follows:</w:t>
      </w:r>
    </w:p>
    <w:p>
      <w:pPr>
        <w:spacing w:before="0" w:after="0" w:line="408" w:lineRule="exact"/>
        <w:ind w:left="0" w:right="0" w:firstLine="576"/>
        <w:jc w:val="left"/>
      </w:pPr>
      <w:r>
        <w:rPr/>
        <w:t xml:space="preserve">(1) Commencing in the calendar year immediately following the calendar year in which the increment area takes effect in accordance with RCW 39.114.020, the county treasurer shall distribute receipts from regular property taxes imposed on real property located in the increment area as follows:</w:t>
      </w:r>
    </w:p>
    <w:p>
      <w:pPr>
        <w:spacing w:before="0" w:after="0" w:line="408" w:lineRule="exact"/>
        <w:ind w:left="0" w:right="0" w:firstLine="576"/>
        <w:jc w:val="left"/>
      </w:pPr>
      <w:r>
        <w:rPr/>
        <w:t xml:space="preserve">(a) Each taxing district shall receive that portion of its regular property taxes produced by the rate of tax levied by or for the taxing district on the tax allocation base value for that increment area;</w:t>
      </w:r>
    </w:p>
    <w:p>
      <w:pPr>
        <w:spacing w:before="0" w:after="0" w:line="408" w:lineRule="exact"/>
        <w:ind w:left="0" w:right="0" w:firstLine="576"/>
        <w:jc w:val="left"/>
      </w:pPr>
      <w:r>
        <w:rPr/>
        <w:t xml:space="preserve">(b) The local government that designated the increment area shall be entitled to receive an additional amount equal to the amount derived from the regular property taxes levied by or for each taxing district upon the increment value within the increment area. The local government that designated the increment area shall receive no more than is needed to pay or repay costs directly associated with the public improvements identified in the approved ordinance and may agree to receive less than the full amount of this portion, as long as bond debt service, reserve, and other bond covenant requirements are satisfied, in which case the balance of these tax receipts shall be allocated to the taxing districts that imposed regular property taxes, or have regular property taxes imposed for them, in the increment area for collection that year in proportion to their regular tax levy rates for collection that year. The local government may request that the treasurer transfer this additional portion of the property taxes to its designated agent. The portion of the tax receipts distributed to the local government or its agent under this subsection (1)(b) may only be expended to finance public improvement costs associated with the public improvements financed in whole or in part by tax increment financing; and</w:t>
      </w:r>
    </w:p>
    <w:p>
      <w:pPr>
        <w:spacing w:before="0" w:after="0" w:line="408" w:lineRule="exact"/>
        <w:ind w:left="0" w:right="0" w:firstLine="576"/>
        <w:jc w:val="left"/>
      </w:pPr>
      <w:r>
        <w:rPr/>
        <w:t xml:space="preserve">(c) This section shall not apply to any receipts from the regular property taxes levied by:</w:t>
      </w:r>
    </w:p>
    <w:p>
      <w:pPr>
        <w:spacing w:before="0" w:after="0" w:line="408" w:lineRule="exact"/>
        <w:ind w:left="0" w:right="0" w:firstLine="576"/>
        <w:jc w:val="left"/>
      </w:pPr>
      <w:r>
        <w:rPr/>
        <w:t xml:space="preserve">(i) The state for the support of the common schools under RCW 84.52.065;</w:t>
      </w:r>
    </w:p>
    <w:p>
      <w:pPr>
        <w:spacing w:before="0" w:after="0" w:line="408" w:lineRule="exact"/>
        <w:ind w:left="0" w:right="0" w:firstLine="576"/>
        <w:jc w:val="left"/>
      </w:pPr>
      <w:r>
        <w:rPr/>
        <w:t xml:space="preserve">(ii) Local school district excess levies; and</w:t>
      </w:r>
    </w:p>
    <w:p>
      <w:pPr>
        <w:spacing w:before="0" w:after="0" w:line="408" w:lineRule="exact"/>
        <w:ind w:left="0" w:right="0" w:firstLine="576"/>
        <w:jc w:val="left"/>
      </w:pPr>
      <w:r>
        <w:rPr/>
        <w:t xml:space="preserve">(iii) Port districts or public utility districts specifically for the purpose of making required payments of principal and interest or general indebtedness.</w:t>
      </w:r>
    </w:p>
    <w:p>
      <w:pPr>
        <w:spacing w:before="0" w:after="0" w:line="408" w:lineRule="exact"/>
        <w:ind w:left="0" w:right="0" w:firstLine="576"/>
        <w:jc w:val="left"/>
      </w:pPr>
      <w:r>
        <w:rPr/>
        <w:t xml:space="preserve">(2) The apportionment of tax allocation revenues must cease when the taxing district certifies to the county assessor in writing that tax allocation revenues are no longer necessary or obligated to pay </w:t>
      </w:r>
      <w:r>
        <w:rPr>
          <w:u w:val="single"/>
        </w:rPr>
        <w:t xml:space="preserve">any bonded indebtedness issued solely to fund the</w:t>
      </w:r>
      <w:r>
        <w:rPr/>
        <w:t xml:space="preserve"> public improvement costs, but in no event shall the apportionment of tax allocation revenues continue beyond the sunset date established pursuant to RCW 39.114.020(1)(e). Any excess tax allocation revenues and earnings on the tax allocation revenues remaining at the time the apportionment of tax receipts terminates must be returned to the county treasurer and distributed to the taxing districts that imposed regular property taxes, or had regular property taxes imposed for it, in the increment area for collection that year, in proportion to the rates of their regular property tax levies for collection that year.</w:t>
      </w:r>
    </w:p>
    <w:p>
      <w:pPr>
        <w:spacing w:before="0" w:after="0" w:line="408" w:lineRule="exact"/>
        <w:ind w:left="0" w:right="0" w:firstLine="576"/>
        <w:jc w:val="left"/>
      </w:pPr>
      <w:r>
        <w:rPr/>
        <w:t xml:space="preserve">(3) The apportionment and distribution of portions of the regular property taxes levied by or for each taxing district upon the increment value within the increment area pursuant to and subject to the requirements of this chapter is declared to be a public purpose of and benefit each such taxing district.</w:t>
      </w:r>
    </w:p>
    <w:p>
      <w:pPr>
        <w:spacing w:before="0" w:after="0" w:line="408" w:lineRule="exact"/>
        <w:ind w:left="0" w:right="0" w:firstLine="576"/>
        <w:jc w:val="left"/>
      </w:pPr>
      <w:r>
        <w:rPr/>
        <w:t xml:space="preserve">(4) The apportionment and distribution of portions of the regular property taxes levied by or for each taxing district upon the increment value within the increment area pursuant to this section shall not affect or be deemed to affect the rate of taxes levied by or within any such taxing district or the consistency of any such levies with the uniformity requirement of Article VII, section 1 of the state Constitution.</w:t>
      </w:r>
    </w:p>
    <w:p>
      <w:pPr>
        <w:spacing w:before="0" w:after="0" w:line="408" w:lineRule="exact"/>
        <w:ind w:left="0" w:right="0" w:firstLine="576"/>
        <w:jc w:val="left"/>
      </w:pPr>
      <w:r>
        <w:rPr/>
        <w:t xml:space="preserve">(5)(a) For a local government having a designated increment area under this chapter as of May 9, 2023, the county assessor must adjust the tax allocation base value for that increment area to include the assessed value of any privately owned improvements located on publicly owned land for taxes imposed in the year in which the increment area was first designated. However, no adjustment is required if the increment area does not include any privately owned improvements located on publicly owned land subject to property taxation as of the date the increment area became effective.</w:t>
      </w:r>
    </w:p>
    <w:p>
      <w:pPr>
        <w:spacing w:before="0" w:after="0" w:line="408" w:lineRule="exact"/>
        <w:ind w:left="0" w:right="0" w:firstLine="576"/>
        <w:jc w:val="left"/>
      </w:pPr>
      <w:r>
        <w:rPr/>
        <w:t xml:space="preserve">(b) The adjusted tax allocation base value under this subsection (5) does not impact any apportionment and distribution under this section occurring in calendar years before calendar year 2024.</w:t>
      </w:r>
    </w:p>
    <w:p/>
    <w:p>
      <w:pPr>
        <w:jc w:val="center"/>
      </w:pPr>
      <w:r>
        <w:rPr>
          <w:b/>
        </w:rPr>
        <w:t>--- END ---</w:t>
      </w:r>
    </w:p>
    <w:sectPr>
      <w:pgNumType w:start="1"/>
      <w:footerReference xmlns:r="http://schemas.openxmlformats.org/officeDocument/2006/relationships" r:id="Rc9b41be75a184c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af3799820d4e9e" /><Relationship Type="http://schemas.openxmlformats.org/officeDocument/2006/relationships/footer" Target="/word/footer1.xml" Id="Rc9b41be75a184cf2" /></Relationships>
</file>