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2c6f2dfd4802" /></Relationships>
</file>

<file path=word/document.xml><?xml version="1.0" encoding="utf-8"?>
<w:document xmlns:w="http://schemas.openxmlformats.org/wordprocessingml/2006/main">
  <w:body>
    <w:p>
      <w:r>
        <w:t>S-3914.1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6160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MacEwen, Torres, J. Wilson, and L. Wilson</w:t>
      </w:r>
    </w:p>
    <w:p/>
    <w:p>
      <w:r>
        <w:rPr>
          <w:t xml:space="preserve">Read first time 01/11/24.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penalties for unlawfully obstructing traffic; amending RCW 9A.84.020 and 9A.84.030;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020</w:t>
      </w:r>
      <w:r>
        <w:rPr/>
        <w:t xml:space="preserve"> and 2011 c 336 s 410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failure to disperse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He or she congregates with a group of three or more other persons and there are acts of conduct within that group which create a substantial risk of causing injury to any person, or substantial harm to property;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He or she refuses or fails to disperse when ordered to do so by a peace officer or other public servant engaged in enforcing or executing the law.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Failure to disperse is a misdemeanor.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Failure to disperse is a class C felony when a person refuses to disperse from a public roadway and their refusal obstructs traffic.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030</w:t>
      </w:r>
      <w:r>
        <w:rPr/>
        <w:t xml:space="preserve"> and 2007 c 2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disorderly conduct if the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Uses abusive language and thereby intentionally creates a risk of assault;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Intentionally disrupts any lawful assembly or meeting of persons without lawful authority;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Intentionally obstructs vehicular or pedestrian traffic without lawful authority;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(d)(i) Intentionally engages in fighting or in tumultuous conduct or makes unreasonable noise, within five hundred feet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location where a funeral or burial is being performed;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funeral home during the viewing of a deceased person;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funeral procession, if the person described in this subsection (1)(d) knows that the funeral procession is taking place;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building in which a funeral or memorial service is being conducted;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Knows that the activity adversely affects the funeral, burial, viewing, funeral procession, or memorial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</w:t>
      </w:r>
      <w:r>
        <w:rPr>
          <w:u w:val="single"/>
        </w:rPr>
        <w:t xml:space="preserve">(a)</w:t>
      </w:r>
      <w:r>
        <w:rPr/>
        <w:t xml:space="preserve"> Disorderly conduct is a misdemeanor.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Disorderly conduct is a gross misdemeanor when a person violates subsection (1)(c)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c4eb94c1ae44d1b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6160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a568e05f84ac8" /><Relationship Type="http://schemas.openxmlformats.org/officeDocument/2006/relationships/footer" Target="/word/footer1.xml" Id="Rcc4eb94c1ae44d1b" /></Relationships>
</file>