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b8a268c8274bed" /></Relationships>
</file>

<file path=word/document.xml><?xml version="1.0" encoding="utf-8"?>
<w:document xmlns:w="http://schemas.openxmlformats.org/wordprocessingml/2006/main">
  <w:body>
    <w:p>
      <w:r>
        <w:t>S-3745.1</w:t>
      </w:r>
    </w:p>
    <w:p>
      <w:pPr>
        <w:jc w:val="center"/>
      </w:pPr>
      <w:r>
        <w:t>_______________________________________________</w:t>
      </w:r>
    </w:p>
    <w:p/>
    <w:p>
      <w:pPr>
        <w:jc w:val="center"/>
      </w:pPr>
      <w:r>
        <w:rPr>
          <w:b/>
        </w:rPr>
        <w:t>SENATE BILL 6131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McCune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employee in regard to Nwauzor v. The GEO Grp., Inc.; amending RCW 49.46.010;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response to the Washington supreme court's ruling in </w:t>
      </w:r>
      <w:r>
        <w:rPr>
          <w:i/>
        </w:rPr>
        <w:t xml:space="preserve">Nwauzor v. The GEO Grp., Inc.</w:t>
      </w:r>
      <w:r>
        <w:rPr/>
        <w:t xml:space="preserve">, the legislature intends to clarify the definition of "employee" under the state minimum wage act to exclude inmates of federal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2023 c 269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w:t>
      </w:r>
      <w:r>
        <w:rPr>
          <w:u w:val="single"/>
        </w:rPr>
        <w:t xml:space="preserve">federal,</w:t>
      </w:r>
      <w:r>
        <w:rPr/>
        <w:t xml:space="preserve"> state, county, or municipal correctional, detention, treatment</w:t>
      </w:r>
      <w:r>
        <w:rPr>
          <w:u w:val="single"/>
        </w:rPr>
        <w:t xml:space="preserve">,</w:t>
      </w:r>
      <w:r>
        <w:rPr/>
        <w:t xml:space="preserve">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4debb8c21264a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5419598cbd4a0f" /><Relationship Type="http://schemas.openxmlformats.org/officeDocument/2006/relationships/footer" Target="/word/footer1.xml" Id="Rf4debb8c21264ae0" /></Relationships>
</file>