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0b65e85a4f43e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6109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C. Wilson, Boehnke, Braun, Gildon, Hasegawa, Kuderer, Liias, Lovelett, Lovick, Nguyen, Nobles, Saldaña, Short,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children, families, and child welfare workers by improving services and clarifying the child removal process in circumstances involving high-potency synthetic opioids; amending RCW 13.34.050, 13.34.130, 26.44.050, 26.44.056, and 2.56.230; reenacting and amending RCW 13.34.030 and 13.34.065; adding new sections to chapter 43.216 RCW; adding a new section to chapter 43.70 RCW; adding a new section to chapter 41.05 RCW; adding a new section to chapter 74.13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since 2018 there has been a significant increase in the number of child fatalities and near fatalities involving fentanyl.</w:t>
      </w:r>
    </w:p>
    <w:p>
      <w:pPr>
        <w:spacing w:before="0" w:after="0" w:line="408" w:lineRule="exact"/>
        <w:ind w:left="0" w:right="0" w:firstLine="576"/>
        <w:jc w:val="left"/>
      </w:pPr>
      <w:r>
        <w:rPr/>
        <w:t xml:space="preserve">(2) The legislature finds that fentanyl and other highly potent synthetic opioids pose a unique and growing threat to the safety of children in Washington state. Fentanyl is a high-potency synthetic opioid and, according to the centers for disease control and prevention, is 50 times more potent than heroin and 100 times more potent than morphine. Even in very small quantities high-potency synthetic opioids may be lethal to a child.</w:t>
      </w:r>
    </w:p>
    <w:p>
      <w:pPr>
        <w:spacing w:before="0" w:after="0" w:line="408" w:lineRule="exact"/>
        <w:ind w:left="0" w:right="0" w:firstLine="576"/>
        <w:jc w:val="left"/>
      </w:pPr>
      <w:r>
        <w:rPr/>
        <w:t xml:space="preserve">(3) The legislature intends to provide clarity to judges, social workers, advocates, and families about the safety threat that highly potent synthetic opioids pose to vulnerable children. The legislature declares that public health guidance from the department of health regarding the lethality of highly potent synthetic opioids should be given great weight in determining whether a child is at risk of imminent physical harm as a result of abuse or neglect.</w:t>
      </w:r>
    </w:p>
    <w:p>
      <w:pPr>
        <w:spacing w:before="0" w:after="0" w:line="408" w:lineRule="exact"/>
        <w:ind w:left="0" w:right="0" w:firstLine="576"/>
        <w:jc w:val="left"/>
      </w:pPr>
      <w:r>
        <w:rPr/>
        <w:t xml:space="preserve">(4) The legislature recognizes the challenges for recovery and rehabilitation regarding opioid use and resolves to increase services and supports. The legislature further resolves to increase training and resources for state and judicial employees to accomplish their mission and goals in a safe and effective manner.</w:t>
      </w:r>
    </w:p>
    <w:p>
      <w:pPr>
        <w:spacing w:before="0" w:after="0" w:line="408" w:lineRule="exact"/>
        <w:ind w:left="0" w:right="0" w:firstLine="576"/>
        <w:jc w:val="left"/>
      </w:pPr>
      <w:r>
        <w:rPr/>
        <w:t xml:space="preserve">(5) The legislature recognizes that supporting families in crisis with interventions and services, including preventative services, voluntary services, and family assessment response, minimizes child trauma from further child welfare involvement and strengthens families.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HIGH-POTENCY SYNTHETIC OPIOIDS AND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w:t>
      </w:r>
      <w:r>
        <w:rPr>
          <w:u w:val="single"/>
        </w:rPr>
        <w:t xml:space="preserve">"High-potency synthetic opioid" means an unprescribed synthetic opioid classified as a schedule II controlled substance or controlled substance analog in chapter 69.50 RCW or by the pharmacy quality assurance commission in rule including, but not limited to, fentanyl.</w:t>
      </w:r>
    </w:p>
    <w:p>
      <w:pPr>
        <w:spacing w:before="0" w:after="0" w:line="408" w:lineRule="exact"/>
        <w:ind w:left="0" w:right="0" w:firstLine="576"/>
        <w:jc w:val="left"/>
      </w:pPr>
      <w:r>
        <w:rPr>
          <w:u w:val="single"/>
        </w:rPr>
        <w:t xml:space="preserve">(16)</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2021 c 211 s 6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with sufficient corroborating evidence to establish that the child is dependent; (b) </w:t>
      </w:r>
      <w:r>
        <w:t>((</w:t>
      </w:r>
      <w:r>
        <w:rPr>
          <w:strike/>
        </w:rPr>
        <w:t xml:space="preserve">the allegations contained in the petition, if true, establish that there are reasonable grounds to believe that removal is necessary to prevent imminent physical harm to the child due to child abuse or neglect, including that which results from sexual abuse, sexual exploitation, or a pattern of severe neglect; and (c)</w:t>
      </w:r>
      <w:r>
        <w:t>))</w:t>
      </w:r>
      <w:r>
        <w:rPr/>
        <w:t xml:space="preserve"> an affidavit or declaration is filed by the department in support of the petition setting forth specific factual information evidencing insufficient time to serve a parent with a dependency petition and hold a hearing prior to removal</w:t>
      </w:r>
      <w:r>
        <w:rPr>
          <w:u w:val="single"/>
        </w:rPr>
        <w:t xml:space="preserve">; and (c) the allegations contained in the petition, if true, establish that there are reasonable grounds to believe that removal is necessary to prevent imminent physical harm to the child due to child abuse or neglect, including that which results from sexual abuse, sexual exploitation, a pattern of severe neglect, or a high-potency synthetic opioid. The court shall give great weight to the lethality of high-potency synthetic opioids and public health guidance from the department of health related to high-potency synthetic opioids</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or a pattern of severe neglect, notwithstanding an order entered pursuant to RCW 26.44.063.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r>
        <w:rPr>
          <w:u w:val="single"/>
        </w:rPr>
        <w:t xml:space="preserve">. The court shall give great weight to the lethality of high-potency synthetic opioids and public health guidance from the department of health related to high-potency synthetic opioids when applying the requirements of this subsection</w:t>
      </w:r>
      <w:r>
        <w:rPr/>
        <w:t xml:space="preserve">;</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w:t>
      </w:r>
      <w:r>
        <w:rPr>
          <w:u w:val="single"/>
        </w:rPr>
        <w:t xml:space="preserve">The court shall give great weight to the lethality of high-potency synthetic opioids and public health guidance from the department of health related to high-potency synthetic opioids when deciding whether to place the child with the parent.</w:t>
      </w:r>
      <w:r>
        <w:rPr/>
        <w:t xml:space="preserve">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2019 c 172 s 12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agency responsible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to be competent to provide care for the child.</w:t>
      </w:r>
    </w:p>
    <w:p>
      <w:pPr>
        <w:spacing w:before="0" w:after="0" w:line="408" w:lineRule="exact"/>
        <w:ind w:left="0" w:right="0" w:firstLine="576"/>
        <w:jc w:val="left"/>
      </w:pPr>
      <w:r>
        <w:rPr/>
        <w:t xml:space="preserve">(2) Absent good cause, the department shall follow the wishes of the natural parent regarding the placement of the child in accordance with RCW 13.34.260.</w:t>
      </w:r>
    </w:p>
    <w:p>
      <w:pPr>
        <w:spacing w:before="0" w:after="0" w:line="408" w:lineRule="exact"/>
        <w:ind w:left="0" w:right="0" w:firstLine="576"/>
        <w:jc w:val="left"/>
      </w:pPr>
      <w:r>
        <w:rPr/>
        <w:t xml:space="preserve">(3) The department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t>((</w:t>
      </w:r>
      <w:r>
        <w:rPr>
          <w:strike/>
        </w:rPr>
        <w:t xml:space="preserve">(i) [(a)]</w:t>
      </w:r>
      <w:r>
        <w:t>))</w:t>
      </w:r>
      <w:r>
        <w:rPr/>
        <w:t xml:space="preserve"> </w:t>
      </w:r>
      <w:r>
        <w:rPr>
          <w:u w:val="single"/>
        </w:rPr>
        <w:t xml:space="preserve">(a)</w:t>
      </w:r>
      <w:r>
        <w:rPr/>
        <w:t xml:space="preserve"> Consider the assessment required under RCW 13.34.420 and submitted as part of the department's social study, and any related documentation;</w:t>
      </w:r>
    </w:p>
    <w:p>
      <w:pPr>
        <w:spacing w:before="0" w:after="0" w:line="408" w:lineRule="exact"/>
        <w:ind w:left="0" w:right="0" w:firstLine="576"/>
        <w:jc w:val="left"/>
      </w:pPr>
      <w:r>
        <w:t>((</w:t>
      </w:r>
      <w:r>
        <w:rPr>
          <w:strike/>
        </w:rPr>
        <w:t xml:space="preserve">(ii) [(b)]</w:t>
      </w:r>
      <w:r>
        <w:t>))</w:t>
      </w:r>
      <w:r>
        <w:rPr/>
        <w:t xml:space="preserve"> </w:t>
      </w:r>
      <w:r>
        <w:rPr>
          <w:u w:val="single"/>
        </w:rPr>
        <w:t xml:space="preserve">(b)</w:t>
      </w:r>
      <w:r>
        <w:rPr/>
        <w:t xml:space="preserve">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t>((</w:t>
      </w:r>
      <w:r>
        <w:rPr>
          <w:strike/>
        </w:rPr>
        <w:t xml:space="preserve">(iii) [(c)]</w:t>
      </w:r>
      <w:r>
        <w:t>))</w:t>
      </w:r>
      <w:r>
        <w:rPr/>
        <w:t xml:space="preserve"> </w:t>
      </w:r>
      <w:r>
        <w:rPr>
          <w:u w:val="single"/>
        </w:rPr>
        <w:t xml:space="preserve">(c)</w:t>
      </w:r>
      <w:r>
        <w:rPr/>
        <w:t xml:space="preserve"> Approve or disapprove the child's placement in the qualified residential treatment program.</w:t>
      </w:r>
    </w:p>
    <w:p>
      <w:pPr>
        <w:spacing w:before="0" w:after="0" w:line="408" w:lineRule="exact"/>
        <w:ind w:left="0" w:right="0" w:firstLine="576"/>
        <w:jc w:val="left"/>
      </w:pPr>
      <w:r>
        <w:rPr/>
        <w:t xml:space="preserve">(5) When placing an Indian child in out-of-home care, the department shall follow the placement preference characteristics in RCW 13.38.180.</w:t>
      </w:r>
    </w:p>
    <w:p>
      <w:pPr>
        <w:spacing w:before="0" w:after="0" w:line="408" w:lineRule="exact"/>
        <w:ind w:left="0" w:right="0" w:firstLine="576"/>
        <w:jc w:val="left"/>
      </w:pPr>
      <w:r>
        <w:rPr/>
        <w:t xml:space="preserve">(6)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prevention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 </w:t>
      </w:r>
      <w:r>
        <w:rPr>
          <w:u w:val="single"/>
        </w:rPr>
        <w:t xml:space="preserve">The court shall give great weight to the lethality of high-potency synthetic opioids and public health guidance from the department of health related to high-potency synthetic opioids, including fentanyl, when deciding whether a manifest danger exists.</w:t>
      </w:r>
    </w:p>
    <w:p>
      <w:pPr>
        <w:spacing w:before="0" w:after="0" w:line="408" w:lineRule="exact"/>
        <w:ind w:left="0" w:right="0" w:firstLine="576"/>
        <w:jc w:val="left"/>
      </w:pPr>
      <w:r>
        <w:rPr/>
        <w:t xml:space="preserve">(7)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(8)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(9)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(10)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2021 c 211 s 5 are each amended to read as follows:</w:t>
      </w:r>
    </w:p>
    <w:p>
      <w:pPr>
        <w:spacing w:before="0" w:after="0" w:line="408" w:lineRule="exact"/>
        <w:ind w:left="0" w:right="0" w:firstLine="576"/>
        <w:jc w:val="left"/>
      </w:pPr>
      <w:r>
        <w:rPr>
          <w:u w:val="single"/>
        </w:rPr>
        <w:t xml:space="preserve">(1)</w:t>
      </w:r>
      <w:r>
        <w:rPr/>
        <w:t xml:space="preserve"> Except as provided in RCW 26.44.030(12),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taking the child into custody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2021 c 211 s 4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there is probable cause to believe that detaining the child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under RCW 13.34.050: PROVIDED, That such administrator or physician shall notify or cause to be notified the appropriate law enforcement agency or child protective services pursuant to RCW 26.44.040. Such notification shall be made as soon as possible and in no case longer than </w:t>
      </w:r>
      <w:r>
        <w:t>((</w:t>
      </w:r>
      <w:r>
        <w:rPr>
          <w:strike/>
        </w:rPr>
        <w:t xml:space="preserve">seventy-two</w:t>
      </w:r>
      <w:r>
        <w:t>))</w:t>
      </w:r>
      <w:r>
        <w:rPr/>
        <w:t xml:space="preserve"> </w:t>
      </w:r>
      <w:r>
        <w:rPr>
          <w:u w:val="single"/>
        </w:rPr>
        <w:t xml:space="preserve">72</w:t>
      </w:r>
      <w:r>
        <w:rPr/>
        <w:t xml:space="preserve"> hours. Such temporary protective custody by an administrator or doctor shall not be deemed an arrest. Child protective services may detain the child until the court assumes custody, but in no case longer than </w:t>
      </w:r>
      <w:r>
        <w:t>((</w:t>
      </w:r>
      <w:r>
        <w:rPr>
          <w:strike/>
        </w:rPr>
        <w:t xml:space="preserve">seventy-two</w:t>
      </w:r>
      <w:r>
        <w:t>))</w:t>
      </w:r>
      <w:r>
        <w:rPr/>
        <w:t xml:space="preserve"> </w:t>
      </w:r>
      <w:r>
        <w:rPr>
          <w:u w:val="single"/>
        </w:rPr>
        <w:t xml:space="preserve">72</w:t>
      </w:r>
      <w:r>
        <w:rPr/>
        <w:t xml:space="preserve"> hours, excluding Saturdays, Sundays, and holidays.</w:t>
      </w:r>
    </w:p>
    <w:p>
      <w:pPr>
        <w:spacing w:before="0" w:after="0" w:line="408" w:lineRule="exact"/>
        <w:ind w:left="0" w:right="0" w:firstLine="576"/>
        <w:jc w:val="left"/>
      </w:pPr>
      <w:r>
        <w:rPr/>
        <w:t xml:space="preserve">(2)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at least one legal liaison position shall be established within the department in each of its regions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t xml:space="preserve">(2)(a) The workload of the legal liaisons shall be geographically divided to reflect where the highest risk and most vulnerable child abuse and neglect cases are filed.</w:t>
      </w:r>
    </w:p>
    <w:p>
      <w:pPr>
        <w:spacing w:before="0" w:after="0" w:line="408" w:lineRule="exact"/>
        <w:ind w:left="0" w:right="0" w:firstLine="576"/>
        <w:jc w:val="left"/>
      </w:pPr>
      <w:r>
        <w:rPr/>
        <w:t xml:space="preserve">(b) For the purpose of this subsection, "highest risk" and "most vulnerable" are determined by the age of the child and whether the child is particularly vulnerable given the child's medical or developmental conditions.</w:t>
      </w:r>
    </w:p>
    <w:p>
      <w:pPr>
        <w:spacing w:before="0" w:after="0" w:line="408" w:lineRule="exact"/>
        <w:ind w:left="0" w:right="0" w:firstLine="576"/>
        <w:jc w:val="left"/>
      </w:pPr>
      <w:r>
        <w:rPr/>
        <w:t xml:space="preserve">(3) The department may determine the necessary qualifications for the legal liaison positions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230</w:t>
      </w:r>
      <w:r>
        <w:rPr/>
        <w:t xml:space="preserve"> and 2008 c 279 s 2 are each amended to read as follows:</w:t>
      </w:r>
    </w:p>
    <w:p>
      <w:pPr>
        <w:spacing w:before="0" w:after="0" w:line="408" w:lineRule="exact"/>
        <w:ind w:left="0" w:right="0" w:firstLine="576"/>
        <w:jc w:val="left"/>
      </w:pPr>
      <w:r>
        <w:rPr/>
        <w:t xml:space="preserve">(1) A superior court may apply for grants from the family and juvenile court improvement grant program by submitting a local improvement plan with the administrator for the courts. To be eligible for grant funds, a superior court's local improvement plan must meet the criteria developed by the administrator for the courts and approved by the board for judicial administration. The criteria must be consistent with the principles adopted for unified family courts. At a minimum, the criteria must require that the court's local improvement plan meet the following requirements:</w:t>
      </w:r>
    </w:p>
    <w:p>
      <w:pPr>
        <w:spacing w:before="0" w:after="0" w:line="408" w:lineRule="exact"/>
        <w:ind w:left="0" w:right="0" w:firstLine="576"/>
        <w:jc w:val="left"/>
      </w:pPr>
      <w:r>
        <w:rPr/>
        <w:t xml:space="preserve">(a) Commit to a chief judge assignment to the family and juvenile court for a minimum of two years;</w:t>
      </w:r>
    </w:p>
    <w:p>
      <w:pPr>
        <w:spacing w:before="0" w:after="0" w:line="408" w:lineRule="exact"/>
        <w:ind w:left="0" w:right="0" w:firstLine="576"/>
        <w:jc w:val="left"/>
      </w:pPr>
      <w:r>
        <w:rPr/>
        <w:t xml:space="preserve">(b) Implementation of the principle of one judicial team hearing all of the proceedings in a case involving one family, especially in dependency cases;</w:t>
      </w:r>
    </w:p>
    <w:p>
      <w:pPr>
        <w:spacing w:before="0" w:after="0" w:line="408" w:lineRule="exact"/>
        <w:ind w:left="0" w:right="0" w:firstLine="576"/>
        <w:jc w:val="left"/>
      </w:pPr>
      <w:r>
        <w:rPr/>
        <w:t xml:space="preserve">(c) Require court commissioners and judges assigned to family and juvenile court to receive a minimum of thirty hours specialized training in topics related to family and juvenile matters within six months of assuming duties in family and juvenile court. Where possible, courts should utilize local, statewide, and national training forums. A judicial officer's recorded educational history may be applied toward the thirty</w:t>
      </w:r>
      <w:r>
        <w:rPr/>
        <w:noBreakHyphen/>
      </w:r>
      <w:r>
        <w:rPr/>
        <w:t xml:space="preserve">hour requirement. The topics for training must include:</w:t>
      </w:r>
    </w:p>
    <w:p>
      <w:pPr>
        <w:spacing w:before="0" w:after="0" w:line="408" w:lineRule="exact"/>
        <w:ind w:left="0" w:right="0" w:firstLine="576"/>
        <w:jc w:val="left"/>
      </w:pPr>
      <w:r>
        <w:rPr/>
        <w:t xml:space="preserve">(i) Parentage;</w:t>
      </w:r>
    </w:p>
    <w:p>
      <w:pPr>
        <w:spacing w:before="0" w:after="0" w:line="408" w:lineRule="exact"/>
        <w:ind w:left="0" w:right="0" w:firstLine="576"/>
        <w:jc w:val="left"/>
      </w:pPr>
      <w:r>
        <w:rPr/>
        <w:t xml:space="preserve">(ii) Adoption;</w:t>
      </w:r>
    </w:p>
    <w:p>
      <w:pPr>
        <w:spacing w:before="0" w:after="0" w:line="408" w:lineRule="exact"/>
        <w:ind w:left="0" w:right="0" w:firstLine="576"/>
        <w:jc w:val="left"/>
      </w:pPr>
      <w:r>
        <w:rPr/>
        <w:t xml:space="preserve">(iii) Domestic relations;</w:t>
      </w:r>
    </w:p>
    <w:p>
      <w:pPr>
        <w:spacing w:before="0" w:after="0" w:line="408" w:lineRule="exact"/>
        <w:ind w:left="0" w:right="0" w:firstLine="576"/>
        <w:jc w:val="left"/>
      </w:pPr>
      <w:r>
        <w:rPr/>
        <w:t xml:space="preserve">(iv) Dependency and termination of parental rights;</w:t>
      </w:r>
    </w:p>
    <w:p>
      <w:pPr>
        <w:spacing w:before="0" w:after="0" w:line="408" w:lineRule="exact"/>
        <w:ind w:left="0" w:right="0" w:firstLine="576"/>
        <w:jc w:val="left"/>
      </w:pPr>
      <w:r>
        <w:rPr/>
        <w:t xml:space="preserve">(v) Child development;</w:t>
      </w:r>
    </w:p>
    <w:p>
      <w:pPr>
        <w:spacing w:before="0" w:after="0" w:line="408" w:lineRule="exact"/>
        <w:ind w:left="0" w:right="0" w:firstLine="576"/>
        <w:jc w:val="left"/>
      </w:pPr>
      <w:r>
        <w:rPr/>
        <w:t xml:space="preserve">(vi) The impact of child abuse and neglect;</w:t>
      </w:r>
    </w:p>
    <w:p>
      <w:pPr>
        <w:spacing w:before="0" w:after="0" w:line="408" w:lineRule="exact"/>
        <w:ind w:left="0" w:right="0" w:firstLine="576"/>
        <w:jc w:val="left"/>
      </w:pPr>
      <w:r>
        <w:rPr/>
        <w:t xml:space="preserve">(vii) Domestic violence;</w:t>
      </w:r>
    </w:p>
    <w:p>
      <w:pPr>
        <w:spacing w:before="0" w:after="0" w:line="408" w:lineRule="exact"/>
        <w:ind w:left="0" w:right="0" w:firstLine="576"/>
        <w:jc w:val="left"/>
      </w:pPr>
      <w:r>
        <w:rPr/>
        <w:t xml:space="preserve">(viii) Substance abuse;</w:t>
      </w:r>
    </w:p>
    <w:p>
      <w:pPr>
        <w:spacing w:before="0" w:after="0" w:line="408" w:lineRule="exact"/>
        <w:ind w:left="0" w:right="0" w:firstLine="576"/>
        <w:jc w:val="left"/>
      </w:pPr>
      <w:r>
        <w:rPr/>
        <w:t xml:space="preserve">(ix) Mental health;</w:t>
      </w:r>
    </w:p>
    <w:p>
      <w:pPr>
        <w:spacing w:before="0" w:after="0" w:line="408" w:lineRule="exact"/>
        <w:ind w:left="0" w:right="0" w:firstLine="576"/>
        <w:jc w:val="left"/>
      </w:pPr>
      <w:r>
        <w:rPr/>
        <w:t xml:space="preserve">(x) Juvenile status offenses;</w:t>
      </w:r>
    </w:p>
    <w:p>
      <w:pPr>
        <w:spacing w:before="0" w:after="0" w:line="408" w:lineRule="exact"/>
        <w:ind w:left="0" w:right="0" w:firstLine="576"/>
        <w:jc w:val="left"/>
      </w:pPr>
      <w:r>
        <w:rPr/>
        <w:t xml:space="preserve">(xi) Juvenile offenders;</w:t>
      </w:r>
    </w:p>
    <w:p>
      <w:pPr>
        <w:spacing w:before="0" w:after="0" w:line="408" w:lineRule="exact"/>
        <w:ind w:left="0" w:right="0" w:firstLine="576"/>
        <w:jc w:val="left"/>
      </w:pPr>
      <w:r>
        <w:rPr/>
        <w:t xml:space="preserve">(xii) Self-representation issues;</w:t>
      </w:r>
    </w:p>
    <w:p>
      <w:pPr>
        <w:spacing w:before="0" w:after="0" w:line="408" w:lineRule="exact"/>
        <w:ind w:left="0" w:right="0" w:firstLine="576"/>
        <w:jc w:val="left"/>
      </w:pPr>
      <w:r>
        <w:rPr/>
        <w:t xml:space="preserve">(xiii) Cultural competency;</w:t>
      </w:r>
    </w:p>
    <w:p>
      <w:pPr>
        <w:spacing w:before="0" w:after="0" w:line="408" w:lineRule="exact"/>
        <w:ind w:left="0" w:right="0" w:firstLine="576"/>
        <w:jc w:val="left"/>
      </w:pPr>
      <w:r>
        <w:rPr/>
        <w:t xml:space="preserve">(xiv) Roles of family and juvenile court judges and commissioners;</w:t>
      </w:r>
    </w:p>
    <w:p>
      <w:pPr>
        <w:spacing w:before="0" w:after="0" w:line="408" w:lineRule="exact"/>
        <w:ind w:left="0" w:right="0" w:firstLine="576"/>
        <w:jc w:val="left"/>
      </w:pPr>
      <w:r>
        <w:rPr>
          <w:u w:val="single"/>
        </w:rPr>
        <w:t xml:space="preserve">(xv) The risk and danger presented to children and youth by </w:t>
      </w:r>
      <w:r>
        <w:rPr>
          <w:u w:val="single"/>
        </w:rPr>
        <w:t xml:space="preserve">high-potency</w:t>
      </w:r>
      <w:r>
        <w:rPr>
          <w:u w:val="single"/>
        </w:rPr>
        <w:t xml:space="preserve"> synthetic opioids consistent with public health guidance from the department of health related to high-potency synthetic opioids;</w:t>
      </w:r>
    </w:p>
    <w:p>
      <w:pPr>
        <w:spacing w:before="0" w:after="0" w:line="408" w:lineRule="exact"/>
        <w:ind w:left="0" w:right="0" w:firstLine="576"/>
        <w:jc w:val="left"/>
      </w:pPr>
      <w:r>
        <w:rPr>
          <w:u w:val="single"/>
        </w:rPr>
        <w:t xml:space="preserve">(xvi) Policies and procedures of the department of children, youth, and families regarding safety and service planning including the differences between safety plans and service plans; and</w:t>
      </w:r>
    </w:p>
    <w:p>
      <w:pPr>
        <w:spacing w:before="0" w:after="0" w:line="408" w:lineRule="exact"/>
        <w:ind w:left="0" w:right="0" w:firstLine="576"/>
        <w:jc w:val="left"/>
      </w:pPr>
      <w:r>
        <w:rPr>
          <w:u w:val="single"/>
        </w:rPr>
        <w:t xml:space="preserve">(xvii) The legal standards for removal of a child based on abuse or neglect;</w:t>
      </w:r>
      <w:r>
        <w:rPr/>
        <w:t xml:space="preserve"> and</w:t>
      </w:r>
    </w:p>
    <w:p>
      <w:pPr>
        <w:spacing w:before="0" w:after="0" w:line="408" w:lineRule="exact"/>
        <w:ind w:left="0" w:right="0" w:firstLine="576"/>
        <w:jc w:val="left"/>
      </w:pPr>
      <w:r>
        <w:rPr/>
        <w:t xml:space="preserve">(d) As part of the application for grant funds, submit a spending proposal detailing how the superior court would use the grant funds.</w:t>
      </w:r>
    </w:p>
    <w:p>
      <w:pPr>
        <w:spacing w:before="0" w:after="0" w:line="408" w:lineRule="exact"/>
        <w:ind w:left="0" w:right="0" w:firstLine="576"/>
        <w:jc w:val="left"/>
      </w:pPr>
      <w:r>
        <w:rPr/>
        <w:t xml:space="preserve">(2) Courts receiving grant money must use the funds to improve and support family and juvenile court operations based on standards developed by the administrator for the courts and approved by the board for judicial administration. The standards may allow courts to use the funds to:</w:t>
      </w:r>
    </w:p>
    <w:p>
      <w:pPr>
        <w:spacing w:before="0" w:after="0" w:line="408" w:lineRule="exact"/>
        <w:ind w:left="0" w:right="0" w:firstLine="576"/>
        <w:jc w:val="left"/>
      </w:pPr>
      <w:r>
        <w:rPr/>
        <w:t xml:space="preserve">(a) Pay for family and juvenile court training of commissioners and judges or pay for pro tem commissioners and judges to assist the court while the commissioners and judges receive training;</w:t>
      </w:r>
    </w:p>
    <w:p>
      <w:pPr>
        <w:spacing w:before="0" w:after="0" w:line="408" w:lineRule="exact"/>
        <w:ind w:left="0" w:right="0" w:firstLine="576"/>
        <w:jc w:val="left"/>
      </w:pPr>
      <w:r>
        <w:rPr/>
        <w:t xml:space="preserve">(b) </w:t>
      </w:r>
      <w:r>
        <w:rPr>
          <w:u w:val="single"/>
        </w:rPr>
        <w:t xml:space="preserve">Pay for the training of other professionals involved in child welfare court proceedings including, but not limited to, attorneys and guardians ad litem;</w:t>
      </w:r>
    </w:p>
    <w:p>
      <w:pPr>
        <w:spacing w:before="0" w:after="0" w:line="408" w:lineRule="exact"/>
        <w:ind w:left="0" w:right="0" w:firstLine="576"/>
        <w:jc w:val="left"/>
      </w:pPr>
      <w:r>
        <w:rPr>
          <w:u w:val="single"/>
        </w:rPr>
        <w:t xml:space="preserve">(c)</w:t>
      </w:r>
      <w:r>
        <w:rPr/>
        <w:t xml:space="preserve"> Increase judicial and nonjudicial staff, including administrative staff to improve case coordination and referrals in family and juvenile cases, guardian ad litem volunteers or court</w:t>
      </w:r>
      <w:r>
        <w:rPr/>
        <w:noBreakHyphen/>
      </w:r>
      <w:r>
        <w:rPr/>
        <w:t xml:space="preserve">appointed special advocates, security, and other staff;</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Improve the court facility to better meet the needs of children and families;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Improve referral and treatment options for court participants, including enhancing court facilitator programs and family treatment court and increasing the availability of alternative dispute resolution;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Enhance existing family and children support services funded by the courts and expand access to social service programs for families and children ordered by the court;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Improve or support family and juvenile court operations in any other way deemed appropriate by the administrator for the courts.</w:t>
      </w:r>
    </w:p>
    <w:p>
      <w:pPr>
        <w:spacing w:before="0" w:after="0" w:line="408" w:lineRule="exact"/>
        <w:ind w:left="0" w:right="0" w:firstLine="576"/>
        <w:jc w:val="left"/>
      </w:pPr>
      <w:r>
        <w:rPr/>
        <w:t xml:space="preserve">(3) The administrator for the courts shall allocate available grant moneys based upon the needs of the court as expressed in their local improvement plan.</w:t>
      </w:r>
    </w:p>
    <w:p>
      <w:pPr>
        <w:spacing w:before="0" w:after="0" w:line="408" w:lineRule="exact"/>
        <w:ind w:left="0" w:right="0" w:firstLine="576"/>
        <w:jc w:val="left"/>
      </w:pPr>
      <w:r>
        <w:rPr/>
        <w:t xml:space="preserve">(4) Money received by the superior court under this program must be used to supplement, not supplant, any other local, state, and federal funds for the court.</w:t>
      </w:r>
    </w:p>
    <w:p>
      <w:pPr>
        <w:spacing w:before="0" w:after="0" w:line="408" w:lineRule="exact"/>
        <w:ind w:left="0" w:right="0" w:firstLine="576"/>
        <w:jc w:val="left"/>
      </w:pPr>
      <w:r>
        <w:rPr/>
        <w:t xml:space="preserve">(5) Upon receipt of grant funds, the superior court shall submit to the administrator for the courts a spending plan detailing the use of funds. At the end of the fiscal year, the superior court shall submit to the administrator for the courts a financial report comparing the spending plan to actual expenditures. The administrator for the courts shall compile the financial reports and submit them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collaboration with the department of children, youth, and families, shall convene a work group on children and exposure to fentanyl to provide information for child welfare workers, juvenile courts, and families regarding the risks of fentanyl exposure for children and child welfare workers in child protective services investigations. The information shall be made available to child welfare court professionals, including:</w:t>
      </w:r>
    </w:p>
    <w:p>
      <w:pPr>
        <w:spacing w:before="0" w:after="0" w:line="408" w:lineRule="exact"/>
        <w:ind w:left="0" w:right="0" w:firstLine="576"/>
        <w:jc w:val="left"/>
      </w:pPr>
      <w:r>
        <w:rPr/>
        <w:t xml:space="preserve">(a) Department of children, youth, and families employees supporting or providing child welfare services as defined in RCW 74.13.020 or child protective services as defined in RCW 26.44.020;</w:t>
      </w:r>
    </w:p>
    <w:p>
      <w:pPr>
        <w:spacing w:before="0" w:after="0" w:line="408" w:lineRule="exact"/>
        <w:ind w:left="0" w:right="0" w:firstLine="576"/>
        <w:jc w:val="left"/>
      </w:pPr>
      <w:r>
        <w:rPr/>
        <w:t xml:space="preserve">(b) Attorneys;</w:t>
      </w:r>
    </w:p>
    <w:p>
      <w:pPr>
        <w:spacing w:before="0" w:after="0" w:line="408" w:lineRule="exact"/>
        <w:ind w:left="0" w:right="0" w:firstLine="576"/>
        <w:jc w:val="left"/>
      </w:pPr>
      <w:r>
        <w:rPr/>
        <w:t xml:space="preserve">(c) Judicial officers; and</w:t>
      </w:r>
    </w:p>
    <w:p>
      <w:pPr>
        <w:spacing w:before="0" w:after="0" w:line="408" w:lineRule="exact"/>
        <w:ind w:left="0" w:right="0" w:firstLine="576"/>
        <w:jc w:val="left"/>
      </w:pPr>
      <w:r>
        <w:rPr/>
        <w:t xml:space="preserve">(d) Guardians ad litem.</w:t>
      </w:r>
    </w:p>
    <w:p>
      <w:pPr>
        <w:spacing w:before="0" w:after="0" w:line="408" w:lineRule="exact"/>
        <w:ind w:left="0" w:right="0" w:firstLine="576"/>
        <w:jc w:val="left"/>
      </w:pPr>
      <w:r>
        <w:rPr/>
        <w:t xml:space="preserve">(2) This section expires July 1, 2025.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SERVICES FOR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for contracted child care slots for infants in child protective services in locales with the historically highest rates of child welfare screened-in intake due to the exposure or presence of high-potency synthetic opioids in the home, which may be used as part of a safety plan. Unused slots under this section may be used for children who are screened in due to a parent's substance use disorder when the substance use disorder is related to a substance other than a high-potency synthetic opioid.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Home visiting established by RCW 43.216.130 has been shown to enhance child development and well-being by reducing the incidence of child abuse and neglect, promoting connection to community-based supports, and increasing school readiness for young children and their families.</w:t>
      </w:r>
    </w:p>
    <w:p>
      <w:pPr>
        <w:spacing w:before="0" w:after="0" w:line="408" w:lineRule="exact"/>
        <w:ind w:left="0" w:right="0" w:firstLine="576"/>
        <w:jc w:val="left"/>
      </w:pPr>
      <w:r>
        <w:rPr/>
        <w:t xml:space="preserve">(2) Subject to the availability of amounts appropriated for this specific purpose, the department shall enter into targeted contracts with existing home visiting programs established by RCW 43.216.130 in locales with the historically highest rates of child welfare screened-in intake to serve families.</w:t>
      </w:r>
    </w:p>
    <w:p>
      <w:pPr>
        <w:spacing w:before="0" w:after="0" w:line="408" w:lineRule="exact"/>
        <w:ind w:left="0" w:right="0" w:firstLine="576"/>
        <w:jc w:val="left"/>
      </w:pPr>
      <w:r>
        <w:rPr/>
        <w:t xml:space="preserve">(3) Targeted contracted home visiting slots for families experiencing high-potency synthetic opioid-related substance use disorder promotes expedited access to supports that enhance strengthened parenting skills and allows home visiting providers to have predictable funding. Any targeted contracted slots the department creates under this section must meet the requirements as provided for in this act.</w:t>
      </w:r>
    </w:p>
    <w:p>
      <w:pPr>
        <w:spacing w:before="0" w:after="0" w:line="408" w:lineRule="exact"/>
        <w:ind w:left="0" w:right="0" w:firstLine="576"/>
        <w:jc w:val="left"/>
      </w:pPr>
      <w:r>
        <w:rPr/>
        <w:t xml:space="preserve">(4) Only existing home visiting providers are eligible to be awarded targeted contracted slots. The targeted contracted slots are reserved for programs in locales with the historically highest rates of child welfare screened-in intakes.</w:t>
      </w:r>
    </w:p>
    <w:p>
      <w:pPr>
        <w:spacing w:before="0" w:after="0" w:line="408" w:lineRule="exact"/>
        <w:ind w:left="0" w:right="0" w:firstLine="576"/>
        <w:jc w:val="left"/>
      </w:pPr>
      <w:r>
        <w:rPr/>
        <w:t xml:space="preserve">(5) The department shall provide training specific to substance use disorders for the home visiting providers selected for this program.</w:t>
      </w:r>
    </w:p>
    <w:p>
      <w:pPr>
        <w:spacing w:before="0" w:after="0" w:line="408" w:lineRule="exact"/>
        <w:ind w:left="0" w:right="0" w:firstLine="576"/>
        <w:jc w:val="left"/>
      </w:pPr>
      <w:r>
        <w:rPr/>
        <w:t xml:space="preserve">(6) Families referred to home visiting services via the process established in subsection (8) of this section must be contacted by the contracted program within seven days of referral.</w:t>
      </w:r>
    </w:p>
    <w:p>
      <w:pPr>
        <w:spacing w:before="0" w:after="0" w:line="408" w:lineRule="exact"/>
        <w:ind w:left="0" w:right="0" w:firstLine="576"/>
        <w:jc w:val="left"/>
      </w:pPr>
      <w:r>
        <w:rPr/>
        <w:t xml:space="preserve">(7) The department shall award the contracted slots via a competitive process. The department shall pay providers for each targeted contracted slot using the rate provided to existing home visiting providers.</w:t>
      </w:r>
    </w:p>
    <w:p>
      <w:pPr>
        <w:spacing w:before="0" w:after="0" w:line="408" w:lineRule="exact"/>
        <w:ind w:left="0" w:right="0" w:firstLine="576"/>
        <w:jc w:val="left"/>
      </w:pPr>
      <w:r>
        <w:rPr/>
        <w:t xml:space="preserve">(8) Eligible families shall be referred to the targeted contracted slots through a referral process developed by the department. The referral process shall include referrals from the department's child welfare staff as well as community organizations working with families meeting the criteria established in subsection (9) of this section.</w:t>
      </w:r>
    </w:p>
    <w:p>
      <w:pPr>
        <w:spacing w:before="0" w:after="0" w:line="408" w:lineRule="exact"/>
        <w:ind w:left="0" w:right="0" w:firstLine="576"/>
        <w:jc w:val="left"/>
      </w:pPr>
      <w:r>
        <w:rPr/>
        <w:t xml:space="preserve">(9) Priority for targeted contracted home visiting slots shall be given to:</w:t>
      </w:r>
    </w:p>
    <w:p>
      <w:pPr>
        <w:spacing w:before="0" w:after="0" w:line="408" w:lineRule="exact"/>
        <w:ind w:left="0" w:right="0" w:firstLine="576"/>
        <w:jc w:val="left"/>
      </w:pPr>
      <w:r>
        <w:rPr/>
        <w:t xml:space="preserve">(a) Families with child protective services open cases;</w:t>
      </w:r>
    </w:p>
    <w:p>
      <w:pPr>
        <w:spacing w:before="0" w:after="0" w:line="408" w:lineRule="exact"/>
        <w:ind w:left="0" w:right="0" w:firstLine="576"/>
        <w:jc w:val="left"/>
      </w:pPr>
      <w:r>
        <w:rPr/>
        <w:t xml:space="preserve">(b) Families with family assessment response open cases; and</w:t>
      </w:r>
    </w:p>
    <w:p>
      <w:pPr>
        <w:spacing w:before="0" w:after="0" w:line="408" w:lineRule="exact"/>
        <w:ind w:left="0" w:right="0" w:firstLine="576"/>
        <w:jc w:val="left"/>
      </w:pPr>
      <w:r>
        <w:rPr/>
        <w:t xml:space="preserve">(c) Families with family voluntary services open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expand specific treatment and services to children and youth with prenatal substance exposure who would benefit from evidence-based services impacting their behavioral and physical health.</w:t>
      </w:r>
    </w:p>
    <w:p>
      <w:pPr>
        <w:spacing w:before="0" w:after="0" w:line="408" w:lineRule="exact"/>
        <w:ind w:left="0" w:right="0" w:firstLine="576"/>
        <w:jc w:val="left"/>
      </w:pPr>
      <w:r>
        <w:rPr/>
        <w:t xml:space="preserve">(2) The authority shall contract for the services authorized in this section with behavioral health entities in a manner that allows leveraging of federal medicaid funds to pay for a portion of the costs.</w:t>
      </w:r>
    </w:p>
    <w:p>
      <w:pPr>
        <w:spacing w:before="0" w:after="0" w:line="408" w:lineRule="exact"/>
        <w:ind w:left="0" w:right="0" w:firstLine="576"/>
        <w:jc w:val="left"/>
      </w:pPr>
      <w:r>
        <w:rPr/>
        <w:t xml:space="preserve">(3) The authority shall consult with the department of children, youth, and families in the implementation of the program and services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provide funding and support for two pilot programs to implement an evidence-based, comprehensive, intensive, in-home parenting services support model to serve children and families from birth to age 18 who are involved in child welfare, children's mental health, or juvenile justice systems.</w:t>
      </w:r>
    </w:p>
    <w:p>
      <w:pPr>
        <w:spacing w:before="0" w:after="0" w:line="408" w:lineRule="exact"/>
        <w:ind w:left="0" w:right="0" w:firstLine="576"/>
        <w:jc w:val="left"/>
      </w:pPr>
      <w:r>
        <w:rPr/>
        <w:t xml:space="preserve">(2) The pilot programs established in this section are intended to prevent or limit out-of-home placement through trauma-informed support to the child, caregivers, and families with three in-person, in-home sessions per week and provide on-call crisis support 24 hours a day, seven days a week. </w:t>
      </w:r>
    </w:p>
    <w:p>
      <w:pPr>
        <w:spacing w:before="0" w:after="0" w:line="408" w:lineRule="exact"/>
        <w:ind w:left="0" w:right="0" w:firstLine="576"/>
        <w:jc w:val="left"/>
      </w:pPr>
      <w:r>
        <w:rPr/>
        <w:t xml:space="preserve">(3) One pilot program established in this section will serve families west of the crest of the Cascade mountain range and one pilot program established in this section will serve families east of the crest of the Cascade mountain range. Each pilot program will build upon existing programs to avoid duplication of existing services available to children and families at risk of entering the child welfare system.</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for this specific purpose, the department of health shall provide funding to support promotoras in at least two communities. These promotoras shall provide culturally sensitive, lay health education for the Latinx community, and act as liaisons between their community, health professionals, and human and social service organizations.</w:t>
      </w:r>
    </w:p>
    <w:p>
      <w:pPr>
        <w:spacing w:before="0" w:after="0" w:line="408" w:lineRule="exact"/>
        <w:ind w:left="0" w:right="0" w:firstLine="576"/>
        <w:jc w:val="left"/>
      </w:pPr>
      <w:r>
        <w:rPr/>
        <w:t xml:space="preserve">(2) In determining which communities will be served by the promotoras under this section, the department of health shall provide funding to support one community west of the crest of the Cascade mountain range and one community east of the crest of the Cascade mountain range.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to include third-party safety plan participants and public health nurses in child protective services safety planning. The pilot program established in this section must:</w:t>
      </w:r>
    </w:p>
    <w:p>
      <w:pPr>
        <w:spacing w:before="0" w:after="0" w:line="408" w:lineRule="exact"/>
        <w:ind w:left="0" w:right="0" w:firstLine="576"/>
        <w:jc w:val="left"/>
      </w:pPr>
      <w:r>
        <w:rPr/>
        <w:t xml:space="preserve">(1) Include contracts in up to four department offices for third-party safety plan participants and public health nurses to support child protective services workers in safety planning; and</w:t>
      </w:r>
    </w:p>
    <w:p>
      <w:pPr>
        <w:spacing w:before="0" w:after="0" w:line="408" w:lineRule="exact"/>
        <w:ind w:left="0" w:right="0" w:firstLine="576"/>
        <w:jc w:val="left"/>
      </w:pPr>
      <w:r>
        <w:rPr/>
        <w:t xml:space="preserve">(2) Provide support for cases involving high-potency synthetic opioids and families who do not have natural supports to aid in safety planning.</w:t>
      </w:r>
    </w:p>
    <w:p/>
    <w:p>
      <w:pPr>
        <w:jc w:val="center"/>
      </w:pPr>
      <w:r>
        <w:rPr>
          <w:b/>
        </w:rPr>
        <w:t>--- END ---</w:t>
      </w:r>
    </w:p>
    <w:sectPr>
      <w:pgNumType w:start="1"/>
      <w:footerReference xmlns:r="http://schemas.openxmlformats.org/officeDocument/2006/relationships" r:id="R2a33b0542e5d48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e011cc88f8477e" /><Relationship Type="http://schemas.openxmlformats.org/officeDocument/2006/relationships/footer" Target="/word/footer1.xml" Id="R2a33b0542e5d48de" /></Relationships>
</file>