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3e8fa3be7e4a50" /></Relationships>
</file>

<file path=word/document.xml><?xml version="1.0" encoding="utf-8"?>
<w:document xmlns:w="http://schemas.openxmlformats.org/wordprocessingml/2006/main">
  <w:body>
    <w:p>
      <w:r>
        <w:t>S-4219.2</w:t>
      </w:r>
    </w:p>
    <w:p>
      <w:pPr>
        <w:jc w:val="center"/>
      </w:pPr>
      <w:r>
        <w:t>_______________________________________________</w:t>
      </w:r>
    </w:p>
    <w:p/>
    <w:p>
      <w:pPr>
        <w:jc w:val="center"/>
      </w:pPr>
      <w:r>
        <w:rPr>
          <w:b/>
        </w:rPr>
        <w:t>SUBSTITUTE SENATE BILL 6109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Human Services (originally sponsored by Senators C. Wilson, Boehnke, Braun, Gildon, Hasegawa, Kuderer, Liias, Lovelett, Lovick, Nguyen, Nobles, Saldaña, Short, Warnick, and J. Wilson)</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families, and child welfare workers by improving services and clarifying the child removal process in circumstances involving high-potency synthetic opioids; amending RCW 13.34.050, 26.44.050, 26.44.056, and 2.56.230; reenacting and amending RCW 13.34.065, 13.34.030, and 74.14B.005; adding a new section to chapter 74.13 RCW; adding new sections to chapter 74.14B RCW; adding new sections to chapter 43.216 RCW;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fentanyl and other highly potent synthetic opioids pose a unique and growing threat to the safety of children in Washington state. The legislature finds that since 2018 there has been a significant increase in the number of child fatalities involving fentanyl within 12 months of the family's involvement in the child welfare system. The legislature further finds that state action is necessary to prevent critical incidents and death of vulnerable children in the wake of the fentanyl epidemic statewide.</w:t>
      </w:r>
    </w:p>
    <w:p>
      <w:pPr>
        <w:spacing w:before="0" w:after="0" w:line="408" w:lineRule="exact"/>
        <w:ind w:left="0" w:right="0" w:firstLine="576"/>
        <w:jc w:val="left"/>
      </w:pPr>
      <w:r>
        <w:rPr/>
        <w:t xml:space="preserve">(2) The legislature recognizes that Engrossed Second Substitute House Bill No. 1227 was enacted in 2021 and took full effect July 1, 2023. In enacting Engrossed Second Substitute House Bill No. 1227, the legislature stated that it found that children and families are better served when the state provides support to allow children to be cared for by loved ones and in their own communities. The legislature renews and reaffirms this intent and also recognizes the unprecedented risk of fatality to children posed by the presence or exposure to fentanyl and other highly potent synthetic opioids. The legislature finds that even in very small quantities, high-potency synthetic opioids may be lethal to a child.</w:t>
      </w:r>
    </w:p>
    <w:p>
      <w:pPr>
        <w:spacing w:before="0" w:after="0" w:line="408" w:lineRule="exact"/>
        <w:ind w:left="0" w:right="0" w:firstLine="576"/>
        <w:jc w:val="left"/>
      </w:pPr>
      <w:r>
        <w:rPr/>
        <w:t xml:space="preserve">(3) The legislature intends to provide clarity to judges, social workers, advocates, and families and direct guidance about the risk of lethality that high-potency synthetic opioids pose to children. The legislature declares that endangerment with high-potency synthetic opioids may necessitate removal of a child to prevent imminent physical harm due to child abuse or neglect.</w:t>
      </w:r>
    </w:p>
    <w:p>
      <w:pPr>
        <w:spacing w:before="0" w:after="0" w:line="408" w:lineRule="exact"/>
        <w:ind w:left="0" w:right="0" w:firstLine="576"/>
        <w:jc w:val="left"/>
      </w:pPr>
      <w:r>
        <w:rPr/>
        <w:t xml:space="preserve">(4) The legislature recognizes the challenges for recovery and rehabilitation regarding opioid use and resolves to increase services and supports. The legislature further resolves to increase training and resources for state and judicial employees to accomplish their mission and goals in a safe and effective manner.</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HIGH-POTENCY SYNTHETIC OPIOIDS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w:t>
      </w:r>
      <w:r>
        <w:rPr>
          <w:u w:val="single"/>
        </w:rPr>
        <w:t xml:space="preserve">(a)</w:t>
      </w:r>
      <w:r>
        <w:rPr/>
        <w:t xml:space="preserve"> The court may enter an order directing a law enforcement officer, probation counselor, or child protective services official to take a child into custody if: </w:t>
      </w:r>
      <w:r>
        <w:t>((</w:t>
      </w:r>
      <w:r>
        <w:rPr>
          <w:strike/>
        </w:rPr>
        <w:t xml:space="preserve">(a)</w:t>
      </w:r>
      <w:r>
        <w:t>))</w:t>
      </w:r>
      <w:r>
        <w:rPr/>
        <w:t xml:space="preserve"> </w:t>
      </w:r>
      <w:r>
        <w:rPr>
          <w:u w:val="single"/>
        </w:rPr>
        <w:t xml:space="preserve">(i)</w:t>
      </w:r>
      <w:r>
        <w:rPr/>
        <w:t xml:space="preserve"> A petition is filed with the juvenile court with sufficient corroborating evidence to establish that the child is dependent; </w:t>
      </w:r>
      <w:r>
        <w:t>((</w:t>
      </w:r>
      <w:r>
        <w:rPr>
          <w:strike/>
        </w:rPr>
        <w:t xml:space="preserve">(b)</w:t>
      </w:r>
      <w:r>
        <w:t>))</w:t>
      </w:r>
      <w:r>
        <w:rPr/>
        <w:t xml:space="preserve"> </w:t>
      </w:r>
      <w:r>
        <w:rPr>
          <w:u w:val="single"/>
        </w:rPr>
        <w:t xml:space="preserve">(ii)</w:t>
      </w:r>
      <w:r>
        <w:rPr/>
        <w:t xml:space="preserve"> the allegations contained in the petition, if true, establish that there are reasonable grounds to believe that removal is necessary to prevent imminent physical harm to the child due to child abuse or neglect</w:t>
      </w:r>
      <w:r>
        <w:t>((</w:t>
      </w:r>
      <w:r>
        <w:rPr>
          <w:strike/>
        </w:rPr>
        <w:t xml:space="preserve">, including that which results from sexual abuse, sexual exploitation, or a pattern of severe neglect</w:t>
      </w:r>
      <w:r>
        <w:t>))</w:t>
      </w:r>
      <w:r>
        <w:rPr/>
        <w:t xml:space="preserve">; and </w:t>
      </w:r>
      <w:r>
        <w:t>((</w:t>
      </w:r>
      <w:r>
        <w:rPr>
          <w:strike/>
        </w:rPr>
        <w:t xml:space="preserve">(c)</w:t>
      </w:r>
      <w:r>
        <w:t>))</w:t>
      </w:r>
      <w:r>
        <w:rPr/>
        <w:t xml:space="preserve"> </w:t>
      </w:r>
      <w:r>
        <w:rPr>
          <w:u w:val="single"/>
        </w:rPr>
        <w:t xml:space="preserve">(iii)</w:t>
      </w:r>
      <w:r>
        <w:rPr/>
        <w:t xml:space="preserve"> an affidavit or declaration is filed by the department in support of the petition setting forth specific factual information evidencing insufficient time to serve a parent with a dependency petition and hold a hearing prior to removal.</w:t>
      </w:r>
    </w:p>
    <w:p>
      <w:pPr>
        <w:spacing w:before="0" w:after="0" w:line="408" w:lineRule="exact"/>
        <w:ind w:left="0" w:right="0" w:firstLine="576"/>
        <w:jc w:val="left"/>
      </w:pPr>
      <w:r>
        <w:rPr>
          <w:u w:val="single"/>
        </w:rPr>
        <w:t xml:space="preserve">(b) The child abuse or neglect establishing the basis for a determination of imminent physical harm under (a) of this subsection may include, but is not limited to, child abuse or neglect resulting from:</w:t>
      </w:r>
    </w:p>
    <w:p>
      <w:pPr>
        <w:spacing w:before="0" w:after="0" w:line="408" w:lineRule="exact"/>
        <w:ind w:left="0" w:right="0" w:firstLine="576"/>
        <w:jc w:val="left"/>
      </w:pPr>
      <w:r>
        <w:rPr>
          <w:u w:val="single"/>
        </w:rPr>
        <w:t xml:space="preserve">(i) Sexual abuse;</w:t>
      </w:r>
    </w:p>
    <w:p>
      <w:pPr>
        <w:spacing w:before="0" w:after="0" w:line="408" w:lineRule="exact"/>
        <w:ind w:left="0" w:right="0" w:firstLine="576"/>
        <w:jc w:val="left"/>
      </w:pPr>
      <w:r>
        <w:rPr>
          <w:u w:val="single"/>
        </w:rPr>
        <w:t xml:space="preserve">(ii) Sexual exploitation;</w:t>
      </w:r>
    </w:p>
    <w:p>
      <w:pPr>
        <w:spacing w:before="0" w:after="0" w:line="408" w:lineRule="exact"/>
        <w:ind w:left="0" w:right="0" w:firstLine="576"/>
        <w:jc w:val="left"/>
      </w:pPr>
      <w:r>
        <w:rPr>
          <w:u w:val="single"/>
        </w:rPr>
        <w:t xml:space="preserve">(iii) A pattern of severe neglect; or</w:t>
      </w:r>
    </w:p>
    <w:p>
      <w:pPr>
        <w:spacing w:before="0" w:after="0" w:line="408" w:lineRule="exact"/>
        <w:ind w:left="0" w:right="0" w:firstLine="576"/>
        <w:jc w:val="left"/>
      </w:pPr>
      <w:r>
        <w:rPr>
          <w:u w:val="single"/>
        </w:rPr>
        <w:t xml:space="preserve">(iv) Endangerment with high-potency synthetic opioids. Endangerment with high-potency synthetic opioids occurs when a parent, guardian, or legal custodian knowingly or intentionally creates a risk that a child will be harmed from exposure, ingestion, inhalation, or contact with high-potency synthetic opioids. When evaluating whether endangerment with high-potency synthetic opioids necessitates removal of the child to prevent imminent physical harm due to child abuse or neglect, the court shall consider at a minimum the following factors:</w:t>
      </w:r>
    </w:p>
    <w:p>
      <w:pPr>
        <w:spacing w:before="0" w:after="0" w:line="408" w:lineRule="exact"/>
        <w:ind w:left="0" w:right="0" w:firstLine="576"/>
        <w:jc w:val="left"/>
      </w:pPr>
      <w:r>
        <w:rPr>
          <w:u w:val="single"/>
        </w:rPr>
        <w:t xml:space="preserve">(A) Public health guidelines and best practices;</w:t>
      </w:r>
    </w:p>
    <w:p>
      <w:pPr>
        <w:spacing w:before="0" w:after="0" w:line="408" w:lineRule="exact"/>
        <w:ind w:left="0" w:right="0" w:firstLine="576"/>
        <w:jc w:val="left"/>
      </w:pPr>
      <w:r>
        <w:rPr>
          <w:u w:val="single"/>
        </w:rPr>
        <w:t xml:space="preserve">(B) Age of the child or children in the home; and</w:t>
      </w:r>
    </w:p>
    <w:p>
      <w:pPr>
        <w:spacing w:before="0" w:after="0" w:line="408" w:lineRule="exact"/>
        <w:ind w:left="0" w:right="0" w:firstLine="576"/>
        <w:jc w:val="left"/>
      </w:pPr>
      <w:r>
        <w:rPr>
          <w:u w:val="single"/>
        </w:rPr>
        <w:t xml:space="preserve">(C) Whether the child is particularly vulnerable given the child's medical or developmental conditions.</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w:t>
      </w:r>
      <w:r>
        <w:t>((</w:t>
      </w:r>
      <w:r>
        <w:rPr>
          <w:strike/>
        </w:rPr>
        <w:t xml:space="preserve">or</w:t>
      </w:r>
      <w:r>
        <w:t>))</w:t>
      </w:r>
      <w:r>
        <w:rPr/>
        <w:t xml:space="preserve"> a pattern of severe neglect, </w:t>
      </w:r>
      <w:r>
        <w:rPr>
          <w:u w:val="single"/>
        </w:rPr>
        <w:t xml:space="preserve">or endangerment with high-potency synthetic opioids as described in RCW 13.34.050,</w:t>
      </w:r>
      <w:r>
        <w:rPr/>
        <w:t xml:space="preserve">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w:t>
      </w:r>
      <w:r>
        <w:t>((</w:t>
      </w:r>
      <w:r>
        <w:rPr>
          <w:strike/>
        </w:rPr>
        <w:t xml:space="preserve">or</w:t>
      </w:r>
      <w:r>
        <w:t>))</w:t>
      </w:r>
      <w:r>
        <w:rPr/>
        <w:t xml:space="preserve"> a pattern of severe neglect, </w:t>
      </w:r>
      <w:r>
        <w:rPr>
          <w:u w:val="single"/>
        </w:rPr>
        <w:t xml:space="preserve">or endangerment with high-potency synthetic opioids as described in RCW 13.34.050,</w:t>
      </w:r>
      <w:r>
        <w:rPr/>
        <w:t xml:space="preserve">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2021 c 211 s 5 are each amended to read as follows:</w:t>
      </w:r>
    </w:p>
    <w:p>
      <w:pPr>
        <w:spacing w:before="0" w:after="0" w:line="408" w:lineRule="exact"/>
        <w:ind w:left="0" w:right="0" w:firstLine="576"/>
        <w:jc w:val="left"/>
      </w:pPr>
      <w:r>
        <w:rPr>
          <w:u w:val="single"/>
        </w:rPr>
        <w:t xml:space="preserve">(1)</w:t>
      </w:r>
      <w:r>
        <w:rPr/>
        <w:t xml:space="preserve">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taking the child into custody is necessary to prevent imminent physical harm to the child due to child abuse or neglect</w:t>
      </w:r>
      <w:r>
        <w:t>((</w:t>
      </w:r>
      <w:r>
        <w:rPr>
          <w:strike/>
        </w:rPr>
        <w:t xml:space="preserve">, including that which results from sexual abuse, sexual exploitation, or a pattern of severe neglect,</w:t>
      </w:r>
      <w:r>
        <w:t>))</w:t>
      </w:r>
      <w:r>
        <w:rPr/>
        <w:t xml:space="preserve">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0" w:after="0" w:line="408" w:lineRule="exact"/>
        <w:ind w:left="0" w:right="0" w:firstLine="576"/>
        <w:jc w:val="left"/>
      </w:pPr>
      <w:r>
        <w:rPr>
          <w:u w:val="single"/>
        </w:rPr>
        <w:t xml:space="preserve">(3) The child abuse or neglect establishing the basis for a determination of imminent physical harm under subsection (2) of this section may include, but is not limited to, child abuse or neglect resulting from:</w:t>
      </w:r>
    </w:p>
    <w:p>
      <w:pPr>
        <w:spacing w:before="0" w:after="0" w:line="408" w:lineRule="exact"/>
        <w:ind w:left="0" w:right="0" w:firstLine="576"/>
        <w:jc w:val="left"/>
      </w:pPr>
      <w:r>
        <w:rPr>
          <w:u w:val="single"/>
        </w:rPr>
        <w:t xml:space="preserve">(a) Sexual abuse;</w:t>
      </w:r>
    </w:p>
    <w:p>
      <w:pPr>
        <w:spacing w:before="0" w:after="0" w:line="408" w:lineRule="exact"/>
        <w:ind w:left="0" w:right="0" w:firstLine="576"/>
        <w:jc w:val="left"/>
      </w:pPr>
      <w:r>
        <w:rPr>
          <w:u w:val="single"/>
        </w:rPr>
        <w:t xml:space="preserve">(b) Sexual exploitation;</w:t>
      </w:r>
    </w:p>
    <w:p>
      <w:pPr>
        <w:spacing w:before="0" w:after="0" w:line="408" w:lineRule="exact"/>
        <w:ind w:left="0" w:right="0" w:firstLine="576"/>
        <w:jc w:val="left"/>
      </w:pPr>
      <w:r>
        <w:rPr>
          <w:u w:val="single"/>
        </w:rPr>
        <w:t xml:space="preserve">(c) A pattern of severe neglect; or</w:t>
      </w:r>
    </w:p>
    <w:p>
      <w:pPr>
        <w:spacing w:before="0" w:after="0" w:line="408" w:lineRule="exact"/>
        <w:ind w:left="0" w:right="0" w:firstLine="576"/>
        <w:jc w:val="left"/>
      </w:pPr>
      <w:r>
        <w:rPr>
          <w:u w:val="single"/>
        </w:rPr>
        <w:t xml:space="preserve">(d) Endangerment with high-potency synthetic opioids as described in RCW 13.34.050.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w:t>
      </w:r>
      <w:r>
        <w:rPr>
          <w:u w:val="single"/>
        </w:rPr>
        <w:t xml:space="preserve">(a)</w:t>
      </w:r>
      <w:r>
        <w:rPr/>
        <w:t xml:space="preserve">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w:t>
      </w:r>
      <w:r>
        <w:t>((</w:t>
      </w:r>
      <w:r>
        <w:rPr>
          <w:strike/>
        </w:rPr>
        <w:t xml:space="preserve">, including that which results from sexual abuse, sexual exploitation, or a pattern of severe neglect,</w:t>
      </w:r>
      <w:r>
        <w:t>))</w:t>
      </w:r>
      <w:r>
        <w:rPr/>
        <w:t xml:space="preserve">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72</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72</w:t>
      </w:r>
      <w:r>
        <w:rPr/>
        <w:t xml:space="preserve"> hours, excluding Saturdays, Sundays, and holidays.</w:t>
      </w:r>
    </w:p>
    <w:p>
      <w:pPr>
        <w:spacing w:before="0" w:after="0" w:line="408" w:lineRule="exact"/>
        <w:ind w:left="0" w:right="0" w:firstLine="576"/>
        <w:jc w:val="left"/>
      </w:pPr>
      <w:r>
        <w:rPr>
          <w:u w:val="single"/>
        </w:rPr>
        <w:t xml:space="preserve">(b) The child abuse or neglect establishing the basis for a determination of imminent physical harm under (a) of this subsection may include, but is not limited to, child abuse or neglect resulting from:</w:t>
      </w:r>
    </w:p>
    <w:p>
      <w:pPr>
        <w:spacing w:before="0" w:after="0" w:line="408" w:lineRule="exact"/>
        <w:ind w:left="0" w:right="0" w:firstLine="576"/>
        <w:jc w:val="left"/>
      </w:pPr>
      <w:r>
        <w:rPr>
          <w:u w:val="single"/>
        </w:rPr>
        <w:t xml:space="preserve">(i) Sexual abuse;</w:t>
      </w:r>
    </w:p>
    <w:p>
      <w:pPr>
        <w:spacing w:before="0" w:after="0" w:line="408" w:lineRule="exact"/>
        <w:ind w:left="0" w:right="0" w:firstLine="576"/>
        <w:jc w:val="left"/>
      </w:pPr>
      <w:r>
        <w:rPr>
          <w:u w:val="single"/>
        </w:rPr>
        <w:t xml:space="preserve">(ii) Sexual exploitation;</w:t>
      </w:r>
    </w:p>
    <w:p>
      <w:pPr>
        <w:spacing w:before="0" w:after="0" w:line="408" w:lineRule="exact"/>
        <w:ind w:left="0" w:right="0" w:firstLine="576"/>
        <w:jc w:val="left"/>
      </w:pPr>
      <w:r>
        <w:rPr>
          <w:u w:val="single"/>
        </w:rPr>
        <w:t xml:space="preserve">(iii) A pattern of severe neglect; or</w:t>
      </w:r>
    </w:p>
    <w:p>
      <w:pPr>
        <w:spacing w:before="0" w:after="0" w:line="408" w:lineRule="exact"/>
        <w:ind w:left="0" w:right="0" w:firstLine="576"/>
        <w:jc w:val="left"/>
      </w:pPr>
      <w:r>
        <w:rPr>
          <w:u w:val="single"/>
        </w:rPr>
        <w:t xml:space="preserve">(iv) Endangerment with high-potency synthetic opioids as described in RCW 13.34.050.</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"High-potency synthetic opioids" means illegally produced synthetic opioids classified as a schedule I or II controlled substance or controlled substance analog in chapter 69.50 RCW and federal law or listed by the pharmacy quality assurance commission in rule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SERVICES FOR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include third-party safety plan participants and public health nurses in child protective services safety planning. The pilot program established in this section must:</w:t>
      </w:r>
    </w:p>
    <w:p>
      <w:pPr>
        <w:spacing w:before="0" w:after="0" w:line="408" w:lineRule="exact"/>
        <w:ind w:left="0" w:right="0" w:firstLine="576"/>
        <w:jc w:val="left"/>
      </w:pPr>
      <w:r>
        <w:rPr/>
        <w:t xml:space="preserve">(1) Include contracts in up to four department offices for third-party safety plan participants and public health nurses to support child protective services workers in safety planning; and</w:t>
      </w:r>
    </w:p>
    <w:p>
      <w:pPr>
        <w:spacing w:before="0" w:after="0" w:line="408" w:lineRule="exact"/>
        <w:ind w:left="0" w:right="0" w:firstLine="576"/>
        <w:jc w:val="left"/>
      </w:pPr>
      <w:r>
        <w:rPr/>
        <w:t xml:space="preserve">(2) Provide support for cases involving high-potency synthetic opioids in families who do not have natural supports to aid in safety planning.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230</w:t>
      </w:r>
      <w:r>
        <w:rPr/>
        <w:t xml:space="preserve"> and 2008 c 279 s 2 are each amended to read as follows:</w:t>
      </w:r>
    </w:p>
    <w:p>
      <w:pPr>
        <w:spacing w:before="0" w:after="0" w:line="408" w:lineRule="exact"/>
        <w:ind w:left="0" w:right="0" w:firstLine="576"/>
        <w:jc w:val="left"/>
      </w:pPr>
      <w:r>
        <w:rPr/>
        <w:t xml:space="preserve">(1) A superior court may apply for grants from the family and juvenile court improvement grant program by submitting a local improvement plan with the administrator for the courts. To be eligible for grant funds, a superior court's local improvement plan must meet the criteria developed by the administrator for the courts and approved by the board for judicial administration. The criteria must be consistent with the principles adopted for unified family courts. At a minimum, the criteria must require that the court's local improvement plan meet the following requirements:</w:t>
      </w:r>
    </w:p>
    <w:p>
      <w:pPr>
        <w:spacing w:before="0" w:after="0" w:line="408" w:lineRule="exact"/>
        <w:ind w:left="0" w:right="0" w:firstLine="576"/>
        <w:jc w:val="left"/>
      </w:pPr>
      <w:r>
        <w:rPr/>
        <w:t xml:space="preserve">(a) Commit to a chief judge assignment to the family and juvenile court for a minimum of two years;</w:t>
      </w:r>
    </w:p>
    <w:p>
      <w:pPr>
        <w:spacing w:before="0" w:after="0" w:line="408" w:lineRule="exact"/>
        <w:ind w:left="0" w:right="0" w:firstLine="576"/>
        <w:jc w:val="left"/>
      </w:pPr>
      <w:r>
        <w:rPr/>
        <w:t xml:space="preserve">(b) Implementation of the principle of one judicial team hearing all of the proceedings in a case involving one family, especially in dependency cases;</w:t>
      </w:r>
    </w:p>
    <w:p>
      <w:pPr>
        <w:spacing w:before="0" w:after="0" w:line="408" w:lineRule="exact"/>
        <w:ind w:left="0" w:right="0" w:firstLine="576"/>
        <w:jc w:val="left"/>
      </w:pPr>
      <w:r>
        <w:rPr/>
        <w:t xml:space="preserve">(c) Require court commissioners and judges assigned to family and juvenile court to receive a minimum of thirty hours specialized training in topics related to family and juvenile matters within six months of assuming duties in family and juvenile court. Where possible, courts should utilize local, statewide, and national training forums. A judicial officer's recorded educational history may be applied toward the thirty</w:t>
      </w:r>
      <w:r>
        <w:rPr/>
        <w:noBreakHyphen/>
      </w:r>
      <w:r>
        <w:rPr/>
        <w:t xml:space="preserve">hour requirement. The topics for training must include:</w:t>
      </w:r>
    </w:p>
    <w:p>
      <w:pPr>
        <w:spacing w:before="0" w:after="0" w:line="408" w:lineRule="exact"/>
        <w:ind w:left="0" w:right="0" w:firstLine="576"/>
        <w:jc w:val="left"/>
      </w:pPr>
      <w:r>
        <w:rPr/>
        <w:t xml:space="preserve">(i) Parentage;</w:t>
      </w:r>
    </w:p>
    <w:p>
      <w:pPr>
        <w:spacing w:before="0" w:after="0" w:line="408" w:lineRule="exact"/>
        <w:ind w:left="0" w:right="0" w:firstLine="576"/>
        <w:jc w:val="left"/>
      </w:pPr>
      <w:r>
        <w:rPr/>
        <w:t xml:space="preserve">(ii) Adoption;</w:t>
      </w:r>
    </w:p>
    <w:p>
      <w:pPr>
        <w:spacing w:before="0" w:after="0" w:line="408" w:lineRule="exact"/>
        <w:ind w:left="0" w:right="0" w:firstLine="576"/>
        <w:jc w:val="left"/>
      </w:pPr>
      <w:r>
        <w:rPr/>
        <w:t xml:space="preserve">(iii) Domestic relations;</w:t>
      </w:r>
    </w:p>
    <w:p>
      <w:pPr>
        <w:spacing w:before="0" w:after="0" w:line="408" w:lineRule="exact"/>
        <w:ind w:left="0" w:right="0" w:firstLine="576"/>
        <w:jc w:val="left"/>
      </w:pPr>
      <w:r>
        <w:rPr/>
        <w:t xml:space="preserve">(iv) Dependency and termination of parental rights;</w:t>
      </w:r>
    </w:p>
    <w:p>
      <w:pPr>
        <w:spacing w:before="0" w:after="0" w:line="408" w:lineRule="exact"/>
        <w:ind w:left="0" w:right="0" w:firstLine="576"/>
        <w:jc w:val="left"/>
      </w:pPr>
      <w:r>
        <w:rPr/>
        <w:t xml:space="preserve">(v) Child development;</w:t>
      </w:r>
    </w:p>
    <w:p>
      <w:pPr>
        <w:spacing w:before="0" w:after="0" w:line="408" w:lineRule="exact"/>
        <w:ind w:left="0" w:right="0" w:firstLine="576"/>
        <w:jc w:val="left"/>
      </w:pPr>
      <w:r>
        <w:rPr/>
        <w:t xml:space="preserve">(vi) The impact of child abuse and neglect;</w:t>
      </w:r>
    </w:p>
    <w:p>
      <w:pPr>
        <w:spacing w:before="0" w:after="0" w:line="408" w:lineRule="exact"/>
        <w:ind w:left="0" w:right="0" w:firstLine="576"/>
        <w:jc w:val="left"/>
      </w:pPr>
      <w:r>
        <w:rPr/>
        <w:t xml:space="preserve">(vii) Domestic violence;</w:t>
      </w:r>
    </w:p>
    <w:p>
      <w:pPr>
        <w:spacing w:before="0" w:after="0" w:line="408" w:lineRule="exact"/>
        <w:ind w:left="0" w:right="0" w:firstLine="576"/>
        <w:jc w:val="left"/>
      </w:pPr>
      <w:r>
        <w:rPr/>
        <w:t xml:space="preserve">(viii) Substance abuse;</w:t>
      </w:r>
    </w:p>
    <w:p>
      <w:pPr>
        <w:spacing w:before="0" w:after="0" w:line="408" w:lineRule="exact"/>
        <w:ind w:left="0" w:right="0" w:firstLine="576"/>
        <w:jc w:val="left"/>
      </w:pPr>
      <w:r>
        <w:rPr/>
        <w:t xml:space="preserve">(ix) Mental health;</w:t>
      </w:r>
    </w:p>
    <w:p>
      <w:pPr>
        <w:spacing w:before="0" w:after="0" w:line="408" w:lineRule="exact"/>
        <w:ind w:left="0" w:right="0" w:firstLine="576"/>
        <w:jc w:val="left"/>
      </w:pPr>
      <w:r>
        <w:rPr/>
        <w:t xml:space="preserve">(x) Juvenile status offenses;</w:t>
      </w:r>
    </w:p>
    <w:p>
      <w:pPr>
        <w:spacing w:before="0" w:after="0" w:line="408" w:lineRule="exact"/>
        <w:ind w:left="0" w:right="0" w:firstLine="576"/>
        <w:jc w:val="left"/>
      </w:pPr>
      <w:r>
        <w:rPr/>
        <w:t xml:space="preserve">(xi) Juvenile offenders;</w:t>
      </w:r>
    </w:p>
    <w:p>
      <w:pPr>
        <w:spacing w:before="0" w:after="0" w:line="408" w:lineRule="exact"/>
        <w:ind w:left="0" w:right="0" w:firstLine="576"/>
        <w:jc w:val="left"/>
      </w:pPr>
      <w:r>
        <w:rPr/>
        <w:t xml:space="preserve">(xii) Self-representation issues;</w:t>
      </w:r>
    </w:p>
    <w:p>
      <w:pPr>
        <w:spacing w:before="0" w:after="0" w:line="408" w:lineRule="exact"/>
        <w:ind w:left="0" w:right="0" w:firstLine="576"/>
        <w:jc w:val="left"/>
      </w:pPr>
      <w:r>
        <w:rPr/>
        <w:t xml:space="preserve">(xiii) Cultural competency;</w:t>
      </w:r>
    </w:p>
    <w:p>
      <w:pPr>
        <w:spacing w:before="0" w:after="0" w:line="408" w:lineRule="exact"/>
        <w:ind w:left="0" w:right="0" w:firstLine="576"/>
        <w:jc w:val="left"/>
      </w:pPr>
      <w:r>
        <w:rPr/>
        <w:t xml:space="preserve">(xiv) Roles of family and juvenile court judges and commissioners;</w:t>
      </w:r>
    </w:p>
    <w:p>
      <w:pPr>
        <w:spacing w:before="0" w:after="0" w:line="408" w:lineRule="exact"/>
        <w:ind w:left="0" w:right="0" w:firstLine="576"/>
        <w:jc w:val="left"/>
      </w:pPr>
      <w:r>
        <w:rPr>
          <w:u w:val="single"/>
        </w:rPr>
        <w:t xml:space="preserve">(xv) The risk and danger presented to children and youth by </w:t>
      </w:r>
      <w:r>
        <w:rPr>
          <w:u w:val="single"/>
        </w:rPr>
        <w:t xml:space="preserve">high-potency</w:t>
      </w:r>
      <w:r>
        <w:rPr>
          <w:u w:val="single"/>
        </w:rPr>
        <w:t xml:space="preserve"> synthetic opioids; and</w:t>
      </w:r>
    </w:p>
    <w:p>
      <w:pPr>
        <w:spacing w:before="0" w:after="0" w:line="408" w:lineRule="exact"/>
        <w:ind w:left="0" w:right="0" w:firstLine="576"/>
        <w:jc w:val="left"/>
      </w:pPr>
      <w:r>
        <w:rPr>
          <w:u w:val="single"/>
        </w:rPr>
        <w:t xml:space="preserve">(xvi) The legal standards for removal of a child pursuant to RCW 13.34.065 and 13.34.130;</w:t>
      </w:r>
      <w:r>
        <w:rPr/>
        <w:t xml:space="preserve"> and</w:t>
      </w:r>
    </w:p>
    <w:p>
      <w:pPr>
        <w:spacing w:before="0" w:after="0" w:line="408" w:lineRule="exact"/>
        <w:ind w:left="0" w:right="0" w:firstLine="576"/>
        <w:jc w:val="left"/>
      </w:pPr>
      <w:r>
        <w:rPr/>
        <w:t xml:space="preserve">(d) As part of the application for grant funds, submit a spending proposal detailing how the superior court would use the grant funds.</w:t>
      </w:r>
    </w:p>
    <w:p>
      <w:pPr>
        <w:spacing w:before="0" w:after="0" w:line="408" w:lineRule="exact"/>
        <w:ind w:left="0" w:right="0" w:firstLine="576"/>
        <w:jc w:val="left"/>
      </w:pPr>
      <w:r>
        <w:rPr/>
        <w:t xml:space="preserve">(2) Courts receiving grant money must use the funds to improve and support family and juvenile court operations based on standards developed by the administrator for the courts and approved by the board for judicial administration. The standards may allow courts to use the funds to:</w:t>
      </w:r>
    </w:p>
    <w:p>
      <w:pPr>
        <w:spacing w:before="0" w:after="0" w:line="408" w:lineRule="exact"/>
        <w:ind w:left="0" w:right="0" w:firstLine="576"/>
        <w:jc w:val="left"/>
      </w:pPr>
      <w:r>
        <w:rPr/>
        <w:t xml:space="preserve">(a) Pay for family and juvenile court training of commissioners and judges or pay for pro tem commissioners and judges to assist the court while the commissioners and judges receive training;</w:t>
      </w:r>
    </w:p>
    <w:p>
      <w:pPr>
        <w:spacing w:before="0" w:after="0" w:line="408" w:lineRule="exact"/>
        <w:ind w:left="0" w:right="0" w:firstLine="576"/>
        <w:jc w:val="left"/>
      </w:pPr>
      <w:r>
        <w:rPr/>
        <w:t xml:space="preserve">(b) </w:t>
      </w:r>
      <w:r>
        <w:rPr>
          <w:u w:val="single"/>
        </w:rPr>
        <w:t xml:space="preserve">Pay for the training of other professionals involved in child welfare court proceedings including, but not limited to, attorneys and guardians ad litem;</w:t>
      </w:r>
    </w:p>
    <w:p>
      <w:pPr>
        <w:spacing w:before="0" w:after="0" w:line="408" w:lineRule="exact"/>
        <w:ind w:left="0" w:right="0" w:firstLine="576"/>
        <w:jc w:val="left"/>
      </w:pPr>
      <w:r>
        <w:rPr>
          <w:u w:val="single"/>
        </w:rPr>
        <w:t xml:space="preserve">(c)</w:t>
      </w:r>
      <w:r>
        <w:rPr/>
        <w:t xml:space="preserve"> Increase judicial and nonjudicial staff, including administrative staff to improve case coordination and referrals in family and juvenile cases, guardian ad litem volunteers or court</w:t>
      </w:r>
      <w:r>
        <w:rPr/>
        <w:noBreakHyphen/>
      </w:r>
      <w:r>
        <w:rPr/>
        <w:t xml:space="preserve">appointed special advocates, security, and other staff;</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Improve the court facility to better meet the needs of children and families;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Improve referral and treatment options for court participants, including enhancing court facilitator programs and family treatment court and increasing the availability of alternative dispute resolution;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Enhance existing family and children support services funded by the courts and expand access to social service programs for families and children ordered by the court;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Improve or support family and juvenile court operations in any other way deemed appropriate by the administrator for the courts.</w:t>
      </w:r>
    </w:p>
    <w:p>
      <w:pPr>
        <w:spacing w:before="0" w:after="0" w:line="408" w:lineRule="exact"/>
        <w:ind w:left="0" w:right="0" w:firstLine="576"/>
        <w:jc w:val="left"/>
      </w:pPr>
      <w:r>
        <w:rPr/>
        <w:t xml:space="preserve">(3) The administrator for the courts shall allocate available grant moneys based upon the needs of the court as expressed in their local improvement plan.</w:t>
      </w:r>
    </w:p>
    <w:p>
      <w:pPr>
        <w:spacing w:before="0" w:after="0" w:line="408" w:lineRule="exact"/>
        <w:ind w:left="0" w:right="0" w:firstLine="576"/>
        <w:jc w:val="left"/>
      </w:pPr>
      <w:r>
        <w:rPr/>
        <w:t xml:space="preserve">(4) Money received by the superior court under this program must be used to supplement, not supplant, any other local, state, and federal funds for the court.</w:t>
      </w:r>
    </w:p>
    <w:p>
      <w:pPr>
        <w:spacing w:before="0" w:after="0" w:line="408" w:lineRule="exact"/>
        <w:ind w:left="0" w:right="0" w:firstLine="576"/>
        <w:jc w:val="left"/>
      </w:pPr>
      <w:r>
        <w:rPr/>
        <w:t xml:space="preserve">(5) Upon receipt of grant funds, the superior court shall submit to the administrator for the courts a spending plan detailing the use of funds. At the end of the fiscal year, the superior court shall submit to the administrator for the courts a financial report comparing the spending plan to actual expenditures. The administrator for the courts shall compile the financial reports and submit them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005</w:t>
      </w:r>
      <w:r>
        <w:rPr/>
        <w:t xml:space="preserve"> and 2019 c 470 s 18 and 2019 c 64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welfare worker" means an employee of the department whose job includes supporting or providing child welfare services as defined in RCW 74.13.020 or child protective services as defined in RCW 26.44.020.</w:t>
      </w:r>
    </w:p>
    <w:p>
      <w:pPr>
        <w:spacing w:before="0" w:after="0" w:line="408" w:lineRule="exact"/>
        <w:ind w:left="0" w:right="0" w:firstLine="576"/>
        <w:jc w:val="left"/>
      </w:pPr>
      <w:r>
        <w:rPr>
          <w:u w:val="single"/>
        </w:rPr>
        <w:t xml:space="preserve">(2)</w:t>
      </w:r>
      <w:r>
        <w:rPr/>
        <w:t xml:space="preserve"> "Department" means the department of children, youth, and families.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"Secretary" means the secretary of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(1) A child welfare worker who is required to respond to a private home or other private location to provide services to, monitor, or investigate a family may make a request to their supervisor to be accompanied by a second trained individual when the child welfare worker has concerns that violence could occur based on a family member's history of violence.</w:t>
      </w:r>
    </w:p>
    <w:p>
      <w:pPr>
        <w:spacing w:before="0" w:after="0" w:line="408" w:lineRule="exact"/>
        <w:ind w:left="0" w:right="0" w:firstLine="576"/>
        <w:jc w:val="left"/>
      </w:pPr>
      <w:r>
        <w:rPr/>
        <w:t xml:space="preserve">(2) When a request is made under subsection (1) of this section, the department shall arrange for a second trained individual to accompany the child welfare worker unless it is not possible to fulfill the request under the circumstances.</w:t>
      </w:r>
    </w:p>
    <w:p>
      <w:pPr>
        <w:spacing w:before="0" w:after="0" w:line="408" w:lineRule="exact"/>
        <w:ind w:left="0" w:right="0" w:firstLine="576"/>
        <w:jc w:val="left"/>
      </w:pPr>
      <w:r>
        <w:rPr/>
        <w:t xml:space="preserve">(3) The second trained individual that may accompany a child welfare worker under this section may be:</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mental health professional;</w:t>
      </w:r>
    </w:p>
    <w:p>
      <w:pPr>
        <w:spacing w:before="0" w:after="0" w:line="408" w:lineRule="exact"/>
        <w:ind w:left="0" w:right="0" w:firstLine="576"/>
        <w:jc w:val="left"/>
      </w:pPr>
      <w:r>
        <w:rPr/>
        <w:t xml:space="preserve">(c) A first responder, such as a firefighter or emergency medical personnel;</w:t>
      </w:r>
    </w:p>
    <w:p>
      <w:pPr>
        <w:spacing w:before="0" w:after="0" w:line="408" w:lineRule="exact"/>
        <w:ind w:left="0" w:right="0" w:firstLine="576"/>
        <w:jc w:val="left"/>
      </w:pPr>
      <w:r>
        <w:rPr/>
        <w:t xml:space="preserve">(d) A public health nurse; or</w:t>
      </w:r>
    </w:p>
    <w:p>
      <w:pPr>
        <w:spacing w:before="0" w:after="0" w:line="408" w:lineRule="exact"/>
        <w:ind w:left="0" w:right="0" w:firstLine="576"/>
        <w:jc w:val="left"/>
      </w:pPr>
      <w:r>
        <w:rPr/>
        <w:t xml:space="preserve">(e) An employee of the department who is trained as a child welfare worker and acts in a supervisory capacity with respect to other child welfare workers.</w:t>
      </w:r>
    </w:p>
    <w:p>
      <w:pPr>
        <w:spacing w:before="0" w:after="0" w:line="408" w:lineRule="exact"/>
        <w:ind w:left="0" w:right="0" w:firstLine="576"/>
        <w:jc w:val="left"/>
      </w:pPr>
      <w:r>
        <w:rPr/>
        <w:t xml:space="preserve">(4) No retaliation may be taken against a child welfare worker for requesting that a second trained individual accompany them in providing services to, monitoring, or investigating a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for contracted child care slots for infants in child protective services in locales with historically high rates of child welfare screened-in intake where parental substance use disorder was a factor in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Home visiting established by RCW 43.216.130 has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(2) Subject to the availability of amounts appropriated for this specific purpose, the department shall enter into targeted contracts with existing home visiting programs established by RCW 43.216.130 in locales with the historically highest rates of child welfare screened-in intake to serve up to 150 families.</w:t>
      </w:r>
    </w:p>
    <w:p>
      <w:pPr>
        <w:spacing w:before="0" w:after="0" w:line="408" w:lineRule="exact"/>
        <w:ind w:left="0" w:right="0" w:firstLine="576"/>
        <w:jc w:val="left"/>
      </w:pPr>
      <w:r>
        <w:rPr/>
        <w:t xml:space="preserve">(3) Targeted contracted home visiting slots for families experiencing high-potency synthetic opioid-related substance use disorder promotes expedited access to supports that enhance strengthened parenting skills and allows home visiting providers to have predictable funding. Any targeted contracted slots the department creates under this section must meet the requirements as provided for in this act.</w:t>
      </w:r>
    </w:p>
    <w:p>
      <w:pPr>
        <w:spacing w:before="0" w:after="0" w:line="408" w:lineRule="exact"/>
        <w:ind w:left="0" w:right="0" w:firstLine="576"/>
        <w:jc w:val="left"/>
      </w:pPr>
      <w:r>
        <w:rPr/>
        <w:t xml:space="preserve">(4) Only existing home visiting providers are eligible to be awarded targeted contracted slots. The targeted contracted slots are reserved for programs in locales with the historically highest rates of child welfare screened-in intakes.</w:t>
      </w:r>
    </w:p>
    <w:p>
      <w:pPr>
        <w:spacing w:before="0" w:after="0" w:line="408" w:lineRule="exact"/>
        <w:ind w:left="0" w:right="0" w:firstLine="576"/>
        <w:jc w:val="left"/>
      </w:pPr>
      <w:r>
        <w:rPr/>
        <w:t xml:space="preserve">(5) The department shall provide training specific to substance use disorders for the home visiting providers selected for this program.</w:t>
      </w:r>
    </w:p>
    <w:p>
      <w:pPr>
        <w:spacing w:before="0" w:after="0" w:line="408" w:lineRule="exact"/>
        <w:ind w:left="0" w:right="0" w:firstLine="576"/>
        <w:jc w:val="left"/>
      </w:pPr>
      <w:r>
        <w:rPr/>
        <w:t xml:space="preserve">(6) Families referred to home visiting services via the process established in subsection (8) of this section must be contacted by the contracted program within seven days of referral.</w:t>
      </w:r>
    </w:p>
    <w:p>
      <w:pPr>
        <w:spacing w:before="0" w:after="0" w:line="408" w:lineRule="exact"/>
        <w:ind w:left="0" w:right="0" w:firstLine="576"/>
        <w:jc w:val="left"/>
      </w:pPr>
      <w:r>
        <w:rPr/>
        <w:t xml:space="preserve">(7) The department shall award the contracted slots via a competitive process. The department shall pay providers for each targeted contracted slot using the rate established by the department.</w:t>
      </w:r>
    </w:p>
    <w:p>
      <w:pPr>
        <w:spacing w:before="0" w:after="0" w:line="408" w:lineRule="exact"/>
        <w:ind w:left="0" w:right="0" w:firstLine="576"/>
        <w:jc w:val="left"/>
      </w:pPr>
      <w:r>
        <w:rPr/>
        <w:t xml:space="preserve">(8) Eligible families shall be referred to the targeted contracted slots through a referral process developed by the department. The referral process shall include referrals from the department's child welfare staff as well as community organizations working with families meeting the criteria established in subsection (9) of this section.</w:t>
      </w:r>
    </w:p>
    <w:p>
      <w:pPr>
        <w:spacing w:before="0" w:after="0" w:line="408" w:lineRule="exact"/>
        <w:ind w:left="0" w:right="0" w:firstLine="576"/>
        <w:jc w:val="left"/>
      </w:pPr>
      <w:r>
        <w:rPr/>
        <w:t xml:space="preserve">(9) Priority for targeted contracted home visiting slots shall be given to:</w:t>
      </w:r>
    </w:p>
    <w:p>
      <w:pPr>
        <w:spacing w:before="0" w:after="0" w:line="408" w:lineRule="exact"/>
        <w:ind w:left="0" w:right="0" w:firstLine="576"/>
        <w:jc w:val="left"/>
      </w:pPr>
      <w:r>
        <w:rPr/>
        <w:t xml:space="preserve">(a) Families with child protective services open cases;</w:t>
      </w:r>
    </w:p>
    <w:p>
      <w:pPr>
        <w:spacing w:before="0" w:after="0" w:line="408" w:lineRule="exact"/>
        <w:ind w:left="0" w:right="0" w:firstLine="576"/>
        <w:jc w:val="left"/>
      </w:pPr>
      <w:r>
        <w:rPr/>
        <w:t xml:space="preserve">(b) Families with family assessment response open cases; and</w:t>
      </w:r>
    </w:p>
    <w:p>
      <w:pPr>
        <w:spacing w:before="0" w:after="0" w:line="408" w:lineRule="exact"/>
        <w:ind w:left="0" w:right="0" w:firstLine="576"/>
        <w:jc w:val="left"/>
      </w:pPr>
      <w:r>
        <w:rPr/>
        <w:t xml:space="preserve">(c) Families with family voluntary services open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connect pregnant people with high-potency synthetic opioid-related substance use disorders in screened-out referrals to community-based resources and supports. This pilot program shall offer voluntary prevention services aimed at reducing child placements in out-of-home care. The department shall implement this pilot program in at least eight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implement and maintain a program that provides support to child welfare workers from public health nurses. The support provided by public health nurses under this section must include supporting child welfare workers in:</w:t>
      </w:r>
    </w:p>
    <w:p>
      <w:pPr>
        <w:spacing w:before="0" w:after="0" w:line="408" w:lineRule="exact"/>
        <w:ind w:left="0" w:right="0" w:firstLine="576"/>
        <w:jc w:val="left"/>
      </w:pPr>
      <w:r>
        <w:rPr/>
        <w:t xml:space="preserve">(1) Engaging and communicating with families about the risks of high-potency synthetic opioids and child health and safety practices; and</w:t>
      </w:r>
    </w:p>
    <w:p>
      <w:pPr>
        <w:spacing w:before="0" w:after="0" w:line="408" w:lineRule="exact"/>
        <w:ind w:left="0" w:right="0" w:firstLine="576"/>
        <w:jc w:val="left"/>
      </w:pPr>
      <w:r>
        <w:rPr/>
        <w:t xml:space="preserve">(2) Determining the level of risk presented to a child or children in specific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a substance use disorder inpatient program that specializes in treating pregnant and parenting women using a family preservation model.</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 Funding provided under this section may be used for documented start-up costs including the recruitment, hiring, and training of staff.</w:t>
      </w:r>
    </w:p>
    <w:p>
      <w:pPr>
        <w:spacing w:before="0" w:after="0" w:line="408" w:lineRule="exact"/>
        <w:ind w:left="0" w:right="0" w:firstLine="576"/>
        <w:jc w:val="left"/>
      </w:pPr>
      <w:r>
        <w:rPr/>
        <w:t xml:space="preserve">(3) The authority shall consult with the department of children, youth, and families in the implementation of the program authorized under this section.</w:t>
      </w:r>
    </w:p>
    <w:p>
      <w:pPr>
        <w:spacing w:before="0" w:after="0" w:line="408" w:lineRule="exact"/>
        <w:ind w:left="0" w:right="0" w:firstLine="576"/>
        <w:jc w:val="left"/>
      </w:pPr>
      <w:r>
        <w:rPr/>
        <w:t xml:space="preserve">(4) Entities contracted to provide services authorized in this section must allow families to reside together while a parent is receiving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four legal liaison positions shall be established within the department to work with both the department and the office of the attorney general for the purpose of assisting with the preparation of dependency court cases involving allegations of high-potency synthetic opioids.</w:t>
      </w:r>
    </w:p>
    <w:p>
      <w:pPr>
        <w:spacing w:before="0" w:after="0" w:line="408" w:lineRule="exact"/>
        <w:ind w:left="0" w:right="0" w:firstLine="576"/>
        <w:jc w:val="left"/>
      </w:pPr>
      <w:r>
        <w:rPr/>
        <w:t xml:space="preserve">(2)(a) The workload of the legal liaisons shall be geographically divided to reflect where the highest risk and most vulnerable high-potency synthetic opioid-related child abuse and neglect cases are filed.</w:t>
      </w:r>
    </w:p>
    <w:p>
      <w:pPr>
        <w:spacing w:before="0" w:after="0" w:line="408" w:lineRule="exact"/>
        <w:ind w:left="0" w:right="0" w:firstLine="576"/>
        <w:jc w:val="left"/>
      </w:pPr>
      <w:r>
        <w:rPr/>
        <w:t xml:space="preserve">(b) For the purpose of this subsection, "highest risk" and "most vulnerable" are determined by the age of the child and whether the child is particularly vulnerable given the child's medical or developmental conditions.</w:t>
      </w:r>
    </w:p>
    <w:p>
      <w:pPr>
        <w:spacing w:before="0" w:after="0" w:line="408" w:lineRule="exact"/>
        <w:ind w:left="0" w:right="0" w:firstLine="576"/>
        <w:jc w:val="left"/>
      </w:pPr>
      <w:r>
        <w:rPr/>
        <w:t xml:space="preserve">(3) The department may determine the necessary qualifications for the legal liaison positions established in this section.</w:t>
      </w:r>
    </w:p>
    <w:p/>
    <w:p>
      <w:pPr>
        <w:jc w:val="center"/>
      </w:pPr>
      <w:r>
        <w:rPr>
          <w:b/>
        </w:rPr>
        <w:t>--- END ---</w:t>
      </w:r>
    </w:p>
    <w:sectPr>
      <w:pgNumType w:start="1"/>
      <w:footerReference xmlns:r="http://schemas.openxmlformats.org/officeDocument/2006/relationships" r:id="Rf6a93448fca74f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faa3b4208041f1" /><Relationship Type="http://schemas.openxmlformats.org/officeDocument/2006/relationships/footer" Target="/word/footer1.xml" Id="Rf6a93448fca74fdb" /></Relationships>
</file>