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924b0673fc4c56" /></Relationships>
</file>

<file path=word/document.xml><?xml version="1.0" encoding="utf-8"?>
<w:document xmlns:w="http://schemas.openxmlformats.org/wordprocessingml/2006/main">
  <w:body>
    <w:p>
      <w:r>
        <w:t>S-4552.1</w:t>
      </w:r>
    </w:p>
    <w:p>
      <w:pPr>
        <w:jc w:val="center"/>
      </w:pPr>
      <w:r>
        <w:t>_______________________________________________</w:t>
      </w:r>
    </w:p>
    <w:p/>
    <w:p>
      <w:pPr>
        <w:jc w:val="center"/>
      </w:pPr>
      <w:r>
        <w:rPr>
          <w:b/>
        </w:rPr>
        <w:t>SUBSTITUTE SENATE BILL 6032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Braun, Dozier, Warnick, and J.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engagement with law enforcement at nonprofit religious schools; and amending RCW 43.330.545.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545</w:t>
      </w:r>
      <w:r>
        <w:rPr/>
        <w:t xml:space="preserve"> and 2023 c 189 s 1 are each amended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funding for programs delivering services in a range of rural and urban counties across Washington.</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Include community engagement in their services;</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or</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w:t>
      </w:r>
      <w:r>
        <w:t>((</w:t>
      </w:r>
      <w:r>
        <w:rPr>
          <w:strike/>
        </w:rPr>
        <w:t xml:space="preserve">and</w:t>
      </w:r>
      <w:r>
        <w:t>))</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 </w:t>
      </w:r>
      <w:r>
        <w:rPr>
          <w:u w:val="single"/>
        </w:rPr>
        <w:t xml:space="preserve">and</w:t>
      </w:r>
    </w:p>
    <w:p>
      <w:pPr>
        <w:spacing w:before="0" w:after="0" w:line="408" w:lineRule="exact"/>
        <w:ind w:left="0" w:right="0" w:firstLine="576"/>
        <w:jc w:val="left"/>
      </w:pPr>
      <w:r>
        <w:rPr>
          <w:u w:val="single"/>
        </w:rPr>
        <w:t xml:space="preserve">(ix) Partnering with off-duty law enforcement officers to provide hate crime prevention efforts, including at nonprofit religious schools;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or</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recipients to measure whether the project had an impact on crime rates and community engagement with, and perceptions of, law enforcement. The department shall report to the appropriate legislative policy committees by December 1st every odd-numbered year with details on the implementation of the project and the outcomes of the reported data and information.</w:t>
      </w:r>
    </w:p>
    <w:p>
      <w:pPr>
        <w:spacing w:before="0" w:after="0" w:line="408" w:lineRule="exact"/>
        <w:ind w:left="0" w:right="0" w:firstLine="576"/>
        <w:jc w:val="left"/>
      </w:pPr>
      <w:r>
        <w:rPr/>
        <w:t xml:space="preserve">(7) This section expires January 1, 2029.</w:t>
      </w:r>
    </w:p>
    <w:p/>
    <w:p>
      <w:pPr>
        <w:jc w:val="center"/>
      </w:pPr>
      <w:r>
        <w:rPr>
          <w:b/>
        </w:rPr>
        <w:t>--- END ---</w:t>
      </w:r>
    </w:p>
    <w:sectPr>
      <w:pgNumType w:start="1"/>
      <w:footerReference xmlns:r="http://schemas.openxmlformats.org/officeDocument/2006/relationships" r:id="Re391ded7ed9d4b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3188e074364f63" /><Relationship Type="http://schemas.openxmlformats.org/officeDocument/2006/relationships/footer" Target="/word/footer1.xml" Id="Re391ded7ed9d4be7" /></Relationships>
</file>