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6929db5494d50" /></Relationships>
</file>

<file path=word/document.xml><?xml version="1.0" encoding="utf-8"?>
<w:document xmlns:w="http://schemas.openxmlformats.org/wordprocessingml/2006/main">
  <w:body>
    <w:p>
      <w:r>
        <w:t>S-3657.1</w:t>
      </w:r>
    </w:p>
    <w:p>
      <w:pPr>
        <w:jc w:val="center"/>
      </w:pPr>
      <w:r>
        <w:t>_______________________________________________</w:t>
      </w:r>
    </w:p>
    <w:p/>
    <w:p>
      <w:pPr>
        <w:jc w:val="center"/>
      </w:pPr>
      <w:r>
        <w:rPr>
          <w:b/>
        </w:rPr>
        <w:t>SENATE BILL 6031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Dozier, Kuderer, Rivers, and Schoesler</w:t>
      </w:r>
    </w:p>
    <w:p/>
    <w:p>
      <w:r>
        <w:rPr>
          <w:t xml:space="preserve">Prefiled 01/05/24.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student transportation allocation to accommodate multiple vehicle types for transporting students; and amending RCW 28A.160.150, 28A.160.170, and 28A.160.180.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w:t>
      </w:r>
      <w:r>
        <w:rPr>
          <w:u w:val="single"/>
        </w:rPr>
        <w:t xml:space="preserve">nor the type of vehicle to be used for pupil transportation. School districts are encouraged to use the vehicle type deemed by a district to be the safest and most cost-effective manner of transporting its students, including using school buses and vans, and may use the student transportation allocation accordingly</w:t>
      </w:r>
      <w:r>
        <w:rPr/>
        <w:t xml:space="preserve">. Operating costs as determined under RCW 28A.160.150 through 28A.160.180 shall be funded at </w:t>
      </w:r>
      <w:r>
        <w:t>((</w:t>
      </w:r>
      <w:r>
        <w:rPr>
          <w:strike/>
        </w:rPr>
        <w:t xml:space="preserve">one hundred</w:t>
      </w:r>
      <w:r>
        <w:t>))</w:t>
      </w:r>
      <w:r>
        <w:rPr/>
        <w:t xml:space="preserve"> </w:t>
      </w:r>
      <w:r>
        <w:rPr>
          <w:u w:val="single"/>
        </w:rPr>
        <w:t xml:space="preserve">100</w:t>
      </w:r>
      <w:r>
        <w:rPr/>
        <w:t xml:space="preserve"> percent or as close thereto as reasonably possible for transportation of an eligible student to and from school as defined in RCW 28A.160.160(3). In addition, funding shall be provided for transportation services for students living within the walk area as determined under RCW 28A.160.160(5).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w:t>
      </w:r>
      <w:r>
        <w:rPr>
          <w:u w:val="single"/>
        </w:rPr>
        <w:t xml:space="preserve">per vehicle type</w:t>
      </w:r>
      <w:r>
        <w:rPr/>
        <w:t xml:space="preserve">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w:t>
      </w:r>
      <w:r>
        <w:rPr>
          <w:u w:val="single"/>
        </w:rPr>
        <w:t xml:space="preserve">, inclusive of all vehicle types used</w:t>
      </w:r>
      <w:r>
        <w:rPr/>
        <w:t xml:space="preserve">.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rPr/>
        <w:t xml:space="preserve">(2)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w:t>
      </w:r>
      <w:r>
        <w:t>((</w:t>
      </w:r>
      <w:r>
        <w:rPr>
          <w:strike/>
        </w:rPr>
        <w:t xml:space="preserve">is the private vehicle reimbursement rate in effect on September 1st of each school year</w:t>
      </w:r>
      <w:r>
        <w:t>))</w:t>
      </w:r>
      <w:r>
        <w:rPr/>
        <w:t xml:space="preserve"> </w:t>
      </w:r>
      <w:r>
        <w:rPr>
          <w:u w:val="single"/>
        </w:rPr>
        <w:t xml:space="preserve">must be included in the overall determination of the district's annual student transportation allocation</w:t>
      </w:r>
      <w:r>
        <w:rPr/>
        <w:t xml:space="preserve">. Students transported in district-owned passenger cars must be included in the corresponding basic or special passenger counts</w:t>
      </w:r>
      <w:r>
        <w:rPr>
          <w:u w:val="single"/>
        </w:rPr>
        <w:t xml:space="preserve">, average distance to school, and number of locations served</w:t>
      </w:r>
      <w:r>
        <w:rPr/>
        <w:t xml:space="preserve">.</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
      <w:pPr>
        <w:jc w:val="center"/>
      </w:pPr>
      <w:r>
        <w:rPr>
          <w:b/>
        </w:rPr>
        <w:t>--- END ---</w:t>
      </w:r>
    </w:p>
    <w:sectPr>
      <w:pgNumType w:start="1"/>
      <w:footerReference xmlns:r="http://schemas.openxmlformats.org/officeDocument/2006/relationships" r:id="R9aaec6ec2efd42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503dd030144857" /><Relationship Type="http://schemas.openxmlformats.org/officeDocument/2006/relationships/footer" Target="/word/footer1.xml" Id="R9aaec6ec2efd4240" /></Relationships>
</file>