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5cfe72c53a4254" /></Relationships>
</file>

<file path=word/document.xml><?xml version="1.0" encoding="utf-8"?>
<w:document xmlns:w="http://schemas.openxmlformats.org/wordprocessingml/2006/main">
  <w:body>
    <w:p>
      <w:r>
        <w:t>S-4710.2</w:t>
      </w:r>
    </w:p>
    <w:p>
      <w:pPr>
        <w:jc w:val="center"/>
      </w:pPr>
      <w:r>
        <w:t>_______________________________________________</w:t>
      </w:r>
    </w:p>
    <w:p/>
    <w:p>
      <w:pPr>
        <w:jc w:val="center"/>
      </w:pPr>
      <w:r>
        <w:rPr>
          <w:b/>
        </w:rPr>
        <w:t>SECOND SUBSTITUTE SENATE BILL 5882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Stanford, Wellman, Hunt, Pedersen, C. Wilson, Conway, Hasegawa, Kuderer, Nobles, Salomon, Shewmake, Valdez, and Van De Wege)</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prototypical school staffing to better meet student needs; amending RCW 28A.150.260 and 28A.400.007;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Youth mental and behavioral health has been a rising crisis for a decade. As youth grapple with new pressures from social media and impacts of a pandemic, their needs can manifest as disruptive behaviors in the school environment. Teachers, counselors, administrators, and education support professionals have identified the need to have more caring and committed education staff in schools to meet the needs of students.</w:t>
      </w:r>
    </w:p>
    <w:p>
      <w:pPr>
        <w:spacing w:before="0" w:after="0" w:line="408" w:lineRule="exact"/>
        <w:ind w:left="0" w:right="0" w:firstLine="576"/>
        <w:jc w:val="left"/>
      </w:pPr>
      <w:r>
        <w:rPr/>
        <w:t xml:space="preserve">Education support professionals are vital team members in a school and often directly support students. Educational staff professionals drive students safely to school, provide one-on-one individualized instruction for special education students, run small group instruction for English language learners and for students struggling with certain academic concepts, supervise and monitor students before and after school, at lunch, and during recess, provide physical and behavioral health services in schools, serve lunches, keep buildings clean and maintained, and many other support services that are essential to school operations and student learning.</w:t>
      </w:r>
    </w:p>
    <w:p>
      <w:pPr>
        <w:spacing w:before="0" w:after="0" w:line="408" w:lineRule="exact"/>
        <w:ind w:left="0" w:right="0" w:firstLine="576"/>
        <w:jc w:val="left"/>
      </w:pPr>
      <w:r>
        <w:rPr/>
        <w:t xml:space="preserve">Therefore, to improve the individualized support for student learning and behavioral needs, the legislature intends to increase staffing allocations for paraprofessionals in instructional and noninstructional roles. The intent of this additional funding is to assist school districts in hiring additional support staff or providing the staff they already employ with better wages.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2023 c 379 s 6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w:t>
      </w:r>
      <w:r>
        <w:rPr>
          <w:u w:val="single"/>
        </w:rPr>
        <w:t xml:space="preserve">and (c)</w:t>
      </w:r>
      <w:r>
        <w:rPr/>
        <w:t xml:space="preserve">,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600 average annual full-time equivalent students in grades nine through 12;</w:t>
      </w:r>
    </w:p>
    <w:p>
      <w:pPr>
        <w:spacing w:before="0" w:after="0" w:line="408" w:lineRule="exact"/>
        <w:ind w:left="0" w:right="0" w:firstLine="576"/>
        <w:jc w:val="left"/>
      </w:pPr>
      <w:r>
        <w:rPr/>
        <w:t xml:space="preserve">(ii) A prototypical middle school has 432 average annual full-time equivalent students in grades seven and eight; and</w:t>
      </w:r>
    </w:p>
    <w:p>
      <w:pPr>
        <w:spacing w:before="0" w:after="0" w:line="408" w:lineRule="exact"/>
        <w:ind w:left="0" w:right="0" w:firstLine="576"/>
        <w:jc w:val="left"/>
      </w:pPr>
      <w:r>
        <w:rPr/>
        <w:t xml:space="preserve">(iii) A prototypical elementary school has 400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12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50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t>((</w:t>
            </w:r>
            <w:r>
              <w:rPr>
                <w:rFonts w:ascii="Times New Roman" w:hAnsi="Times New Roman"/>
                <w:strike/>
                <w:sz w:val="20"/>
              </w:rPr>
              <w:t xml:space="preserve">Teaching assistance</w:t>
            </w:r>
            <w:r>
              <w:t>))</w:t>
            </w:r>
            <w:r>
              <w:rPr>
                <w:rFonts w:ascii="Times New Roman" w:hAnsi="Times New Roman"/>
                <w:sz w:val="20"/>
              </w:rPr>
              <w:t xml:space="preserve"> </w:t>
            </w:r>
            <w:r>
              <w:rPr>
                <w:rFonts w:ascii="Times New Roman" w:hAnsi="Times New Roman"/>
                <w:sz w:val="20"/>
                <w:u w:val="single"/>
              </w:rPr>
              <w:t xml:space="preserve">Paraeducators</w:t>
            </w:r>
            <w:r>
              <w:rPr>
                <w:rFonts w:ascii="Times New Roman" w:hAnsi="Times New Roman"/>
                <w:sz w:val="20"/>
              </w:rPr>
              <w:t xml:space="preserv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0.936</w:t>
            </w:r>
            <w:r>
              <w:t>))</w:t>
            </w:r>
          </w:p>
          <w:p>
            <w:pPr>
              <w:spacing w:before="0" w:after="0" w:line="408" w:lineRule="exact"/>
              <w:ind w:left="0" w:right="0" w:firstLine="0"/>
              <w:jc w:val="left"/>
            </w:pPr>
            <w:r>
              <w:rPr>
                <w:rFonts w:ascii="Times New Roman" w:hAnsi="Times New Roman"/>
                <w:sz w:val="20"/>
                <w:u w:val="single"/>
              </w:rPr>
              <w:t xml:space="preserve">1.054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0.700</w:t>
            </w:r>
            <w:r>
              <w:t>))</w:t>
            </w:r>
          </w:p>
          <w:p>
            <w:pPr>
              <w:spacing w:before="0" w:after="0" w:line="408" w:lineRule="exact"/>
              <w:ind w:left="0" w:right="0" w:firstLine="0"/>
              <w:jc w:val="left"/>
            </w:pPr>
            <w:r>
              <w:rPr>
                <w:rFonts w:ascii="Times New Roman" w:hAnsi="Times New Roman"/>
                <w:sz w:val="20"/>
                <w:u w:val="single"/>
              </w:rPr>
              <w:t xml:space="preserve">0.817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0.652</w:t>
            </w:r>
            <w:r>
              <w:t>))</w:t>
            </w:r>
          </w:p>
          <w:p>
            <w:pPr>
              <w:spacing w:before="0" w:after="0" w:line="408" w:lineRule="exact"/>
              <w:ind w:left="0" w:right="0" w:firstLine="0"/>
              <w:jc w:val="left"/>
            </w:pPr>
            <w:r>
              <w:rPr>
                <w:rFonts w:ascii="Times New Roman" w:hAnsi="Times New Roman"/>
                <w:sz w:val="20"/>
                <w:u w:val="single"/>
              </w:rPr>
              <w:t xml:space="preserve">0.769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2.012</w:t>
            </w:r>
            <w:r>
              <w:t>))</w:t>
            </w:r>
          </w:p>
          <w:p>
            <w:pPr>
              <w:spacing w:before="0" w:after="0" w:line="408" w:lineRule="exact"/>
              <w:ind w:left="0" w:right="0" w:firstLine="0"/>
              <w:jc w:val="left"/>
            </w:pPr>
            <w:r>
              <w:rPr>
                <w:rFonts w:ascii="Times New Roman" w:hAnsi="Times New Roman"/>
                <w:sz w:val="20"/>
                <w:u w:val="single"/>
              </w:rPr>
              <w:t xml:space="preserve">2.130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2.325</w:t>
            </w:r>
            <w:r>
              <w:t>))</w:t>
            </w:r>
          </w:p>
          <w:p>
            <w:pPr>
              <w:spacing w:before="0" w:after="0" w:line="408" w:lineRule="exact"/>
              <w:ind w:left="0" w:right="0" w:firstLine="0"/>
              <w:jc w:val="left"/>
            </w:pPr>
            <w:r>
              <w:rPr>
                <w:rFonts w:ascii="Times New Roman" w:hAnsi="Times New Roman"/>
                <w:sz w:val="20"/>
                <w:u w:val="single"/>
              </w:rPr>
              <w:t xml:space="preserve">2.442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3.269</w:t>
            </w:r>
            <w:r>
              <w:t>))</w:t>
            </w:r>
          </w:p>
          <w:p>
            <w:pPr>
              <w:spacing w:before="0" w:after="0" w:line="408" w:lineRule="exact"/>
              <w:ind w:left="0" w:right="0" w:firstLine="0"/>
              <w:jc w:val="left"/>
            </w:pPr>
            <w:r>
              <w:rPr>
                <w:rFonts w:ascii="Times New Roman" w:hAnsi="Times New Roman"/>
                <w:sz w:val="20"/>
                <w:u w:val="single"/>
              </w:rPr>
              <w:t xml:space="preserve">3.386</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u w:val="single"/>
        </w:rPr>
        <w:t xml:space="preserve">(c) The superintendent shall develop rules that require school districts to use the additional funding provided under (a) of this subsection to support increased staffing, prevent layoffs, or increase salaries for the following staff types in the 2024-25 school year: Paraeducators, office support, and noninstructional aides. The superintendent shall collect data from school districts on how the increased allocations are used.</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12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12;</w:t>
      </w:r>
    </w:p>
    <w:p>
      <w:pPr>
        <w:spacing w:before="0" w:after="0" w:line="408" w:lineRule="exact"/>
        <w:ind w:left="0" w:right="0" w:firstLine="576"/>
        <w:jc w:val="left"/>
      </w:pPr>
      <w:r>
        <w:rPr/>
        <w:t xml:space="preserve">(b) Preparatory career and technical education courses for students in grades nine through 12 offered in a high school; and</w:t>
      </w:r>
    </w:p>
    <w:p>
      <w:pPr>
        <w:spacing w:before="0" w:after="0" w:line="408" w:lineRule="exact"/>
        <w:ind w:left="0" w:right="0" w:firstLine="576"/>
        <w:jc w:val="left"/>
      </w:pPr>
      <w:r>
        <w:rPr/>
        <w:t xml:space="preserve">(c) Preparatory career and technical education courses for students in grades 11 and 12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12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except as provided in (a)(iii) of this subsection, provide for each level of prototypical school resources to provide, on a statewide average, 2.3975 hours per week in extra instruction with a class size of 15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except as provided in (a)(iv) of this subsection, means a school in which the three-year rolling average of the prior year total annual average enrollment that qualifies for free or reduced-price meals equals or exceeds 50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15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(iii) For the 2024-25 and 2025-26 school years, allocations under (a)(i) of this subsection for school districts providing meals at no charge to students under RCW 28A.235.135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t xml:space="preserve">(iv) For the 2024-25 and 2025-26 school years, a school providing meals at no charge to students under RCW 28A.235.135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12, with 15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15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007</w:t>
      </w:r>
      <w:r>
        <w:rPr/>
        <w:t xml:space="preserve"> and 2022 c 109 s 5 are each amended to read as follows:</w:t>
      </w:r>
    </w:p>
    <w:p>
      <w:pPr>
        <w:spacing w:before="0" w:after="0" w:line="408" w:lineRule="exact"/>
        <w:ind w:left="0" w:right="0" w:firstLine="576"/>
        <w:jc w:val="left"/>
      </w:pPr>
      <w:r>
        <w:rPr/>
        <w:t xml:space="preserve">(1) In addition to the staffing units in RCW 28A.150.260, the superintendent of public instruction must provide school districts with allocations for the following staff units if and to the extent that funding is specifically appropriated and designated for that category of staffing unit in the omnibus operating appropriations act.</w:t>
      </w:r>
    </w:p>
    <w:p>
      <w:pPr>
        <w:spacing w:before="0" w:after="0" w:line="408" w:lineRule="exact"/>
        <w:ind w:left="0" w:right="0" w:firstLine="576"/>
        <w:jc w:val="left"/>
      </w:pPr>
      <w:r>
        <w:rPr/>
        <w:t xml:space="preserve">(a) Additional staffing units for each level of prototypical school in RCW 28A.150.260:</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building-level administrators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0.4810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0.4770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t>((</w:t>
            </w:r>
            <w:r>
              <w:rPr>
                <w:rFonts w:ascii="Times New Roman" w:hAnsi="Times New Roman"/>
                <w:strike/>
                <w:sz w:val="20"/>
              </w:rPr>
              <w:t xml:space="preserve">Teaching assistance</w:t>
            </w:r>
            <w:r>
              <w:t>))</w:t>
            </w:r>
            <w:r>
              <w:rPr>
                <w:rFonts w:ascii="Times New Roman" w:hAnsi="Times New Roman"/>
                <w:sz w:val="20"/>
              </w:rPr>
              <w:t xml:space="preserve"> </w:t>
            </w:r>
            <w:r>
              <w:rPr>
                <w:rFonts w:ascii="Times New Roman" w:hAnsi="Times New Roman"/>
                <w:sz w:val="20"/>
                <w:u w:val="single"/>
              </w:rPr>
              <w:t xml:space="preserve">Paraeducators</w:t>
            </w:r>
            <w:r>
              <w:rPr>
                <w:rFonts w:ascii="Times New Roman" w:hAnsi="Times New Roman"/>
                <w:sz w:val="20"/>
              </w:rPr>
              <w:t xml:space="preserve">, including any aspect of educational instructional services provided by classified employees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1.0640</w:t>
            </w:r>
            <w:r>
              <w:t>))</w:t>
            </w:r>
          </w:p>
          <w:p>
            <w:pPr>
              <w:spacing w:before="0" w:after="0" w:line="408" w:lineRule="exact"/>
              <w:ind w:left="0" w:right="0" w:firstLine="0"/>
              <w:jc w:val="left"/>
            </w:pPr>
            <w:r>
              <w:rPr>
                <w:rFonts w:ascii="Times New Roman" w:hAnsi="Times New Roman"/>
                <w:sz w:val="20"/>
                <w:u w:val="single"/>
              </w:rPr>
              <w:t xml:space="preserve">0.9460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0.3000</w:t>
            </w:r>
            <w:r>
              <w:t>))</w:t>
            </w:r>
          </w:p>
          <w:p>
            <w:pPr>
              <w:spacing w:before="0" w:after="0" w:line="408" w:lineRule="exact"/>
              <w:ind w:left="0" w:right="0" w:firstLine="0"/>
              <w:jc w:val="left"/>
            </w:pPr>
            <w:r>
              <w:rPr>
                <w:rFonts w:ascii="Times New Roman" w:hAnsi="Times New Roman"/>
                <w:sz w:val="20"/>
                <w:u w:val="single"/>
              </w:rPr>
              <w:t xml:space="preserve">0.1830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0.3480</w:t>
            </w:r>
            <w:r>
              <w:t>))</w:t>
            </w:r>
          </w:p>
          <w:p>
            <w:pPr>
              <w:spacing w:before="0" w:after="0" w:line="408" w:lineRule="exact"/>
              <w:ind w:left="0" w:right="0" w:firstLine="0"/>
              <w:jc w:val="left"/>
            </w:pPr>
            <w:r>
              <w:rPr>
                <w:rFonts w:ascii="Times New Roman" w:hAnsi="Times New Roman"/>
                <w:sz w:val="20"/>
                <w:u w:val="single"/>
              </w:rPr>
              <w:t xml:space="preserve">0.2310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0.9880</w:t>
            </w:r>
            <w:r>
              <w:t>))</w:t>
            </w:r>
          </w:p>
          <w:p>
            <w:pPr>
              <w:spacing w:before="0" w:after="0" w:line="408" w:lineRule="exact"/>
              <w:ind w:left="0" w:right="0" w:firstLine="0"/>
              <w:jc w:val="left"/>
            </w:pPr>
            <w:r>
              <w:rPr>
                <w:rFonts w:ascii="Times New Roman" w:hAnsi="Times New Roman"/>
                <w:sz w:val="20"/>
                <w:u w:val="single"/>
              </w:rPr>
              <w:t xml:space="preserve">0.8700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1.1750</w:t>
            </w:r>
            <w:r>
              <w:t>))</w:t>
            </w:r>
          </w:p>
          <w:p>
            <w:pPr>
              <w:spacing w:before="0" w:after="0" w:line="408" w:lineRule="exact"/>
              <w:ind w:left="0" w:right="0" w:firstLine="0"/>
              <w:jc w:val="left"/>
            </w:pPr>
            <w:r>
              <w:rPr>
                <w:rFonts w:ascii="Times New Roman" w:hAnsi="Times New Roman"/>
                <w:sz w:val="20"/>
                <w:u w:val="single"/>
              </w:rPr>
              <w:t xml:space="preserve">1.0580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0.2310</w:t>
            </w:r>
            <w:r>
              <w:t>))</w:t>
            </w:r>
          </w:p>
          <w:p>
            <w:pPr>
              <w:spacing w:before="0" w:after="0" w:line="408" w:lineRule="exact"/>
              <w:ind w:left="0" w:right="0" w:firstLine="0"/>
              <w:jc w:val="left"/>
            </w:pPr>
            <w:r>
              <w:rPr>
                <w:rFonts w:ascii="Times New Roman" w:hAnsi="Times New Roman"/>
                <w:sz w:val="20"/>
                <w:u w:val="single"/>
              </w:rPr>
              <w:t xml:space="preserve">0.1140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0.0430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0.6080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1.1590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0.9175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r>
    </w:tbl>
    <w:p>
      <w:pPr>
        <w:spacing w:before="0" w:after="0" w:line="408" w:lineRule="exact"/>
        <w:ind w:left="0" w:right="0" w:firstLine="576"/>
        <w:jc w:val="left"/>
      </w:pPr>
      <w:r>
        <w:rPr/>
        <w:t xml:space="preserve">(b) Additional certificated instructional staff units sufficient to achieve the following reductions in class size in each level of prototypical school under RCW 28A.150.260:</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0.00</w:t>
      </w:r>
    </w:p>
    <w:p>
      <w:pPr>
        <w:spacing w:before="0" w:after="0" w:line="408" w:lineRule="exact"/>
        <w:ind w:left="0" w:right="0" w:firstLine="0"/>
        <w:jc w:val="left"/>
        <w:tabs>
          <w:tab w:val="right" w:leader="dot" w:pos="9936"/>
        </w:tabs>
      </w:pPr>
      <w:r>
        <w:rPr/>
        <w:t xml:space="preserve">Grade 4</w:t>
      </w:r>
      <w:r>
        <w:tab/>
      </w:r>
      <w:r>
        <w:rPr/>
        <w:t xml:space="preserve">2.00</w:t>
      </w:r>
    </w:p>
    <w:p>
      <w:pPr>
        <w:spacing w:before="0" w:after="0" w:line="408" w:lineRule="exact"/>
        <w:ind w:left="0" w:right="0" w:firstLine="0"/>
        <w:jc w:val="left"/>
        <w:tabs>
          <w:tab w:val="right" w:leader="dot" w:pos="9936"/>
        </w:tabs>
      </w:pPr>
      <w:r>
        <w:rPr/>
        <w:t xml:space="preserve">Grades 5-6</w:t>
      </w:r>
      <w:r>
        <w:tab/>
      </w:r>
      <w:r>
        <w:rPr/>
        <w:t xml:space="preserve">2.00</w:t>
      </w:r>
    </w:p>
    <w:p>
      <w:pPr>
        <w:spacing w:before="0" w:after="0" w:line="408" w:lineRule="exact"/>
        <w:ind w:left="0" w:right="0" w:firstLine="0"/>
        <w:jc w:val="left"/>
        <w:tabs>
          <w:tab w:val="right" w:leader="dot" w:pos="9936"/>
        </w:tabs>
      </w:pPr>
      <w:r>
        <w:rPr/>
        <w:t xml:space="preserve">Grades 7-8</w:t>
      </w:r>
      <w:r>
        <w:tab/>
      </w:r>
      <w:r>
        <w:rPr/>
        <w:t xml:space="preserve">3.53</w:t>
      </w:r>
    </w:p>
    <w:p>
      <w:pPr>
        <w:spacing w:before="0" w:after="0" w:line="408" w:lineRule="exact"/>
        <w:ind w:left="0" w:right="0" w:firstLine="0"/>
        <w:jc w:val="left"/>
        <w:tabs>
          <w:tab w:val="right" w:leader="dot" w:pos="9936"/>
        </w:tabs>
      </w:pPr>
      <w:r>
        <w:rPr/>
        <w:t xml:space="preserve">Grades 9-12</w:t>
      </w:r>
      <w:r>
        <w:tab/>
      </w:r>
      <w:r>
        <w:rPr/>
        <w:t xml:space="preserve">3.74</w:t>
      </w:r>
    </w:p>
    <w:p>
      <w:pPr>
        <w:spacing w:before="0" w:after="0" w:line="408" w:lineRule="exact"/>
        <w:ind w:left="0" w:right="0" w:firstLine="0"/>
        <w:jc w:val="left"/>
        <w:tabs>
          <w:tab w:val="right" w:leader="dot" w:pos="9936"/>
        </w:tabs>
      </w:pPr>
      <w:r>
        <w:rPr/>
        <w:t xml:space="preserve">CTE</w:t>
      </w:r>
      <w:r>
        <w:tab/>
      </w:r>
      <w:r>
        <w:rPr/>
        <w:t xml:space="preserve">4.00</w:t>
      </w:r>
    </w:p>
    <w:p>
      <w:pPr>
        <w:spacing w:before="0" w:after="0" w:line="408" w:lineRule="exact"/>
        <w:ind w:left="0" w:right="0" w:firstLine="0"/>
        <w:jc w:val="left"/>
        <w:tabs>
          <w:tab w:val="right" w:leader="dot" w:pos="9936"/>
        </w:tabs>
      </w:pPr>
      <w:r>
        <w:rPr/>
        <w:t xml:space="preserve">Skills</w:t>
      </w:r>
      <w:r>
        <w:tab/>
      </w:r>
      <w:r>
        <w:rPr/>
        <w:t xml:space="preserve"> 3.00</w:t>
      </w:r>
    </w:p>
    <w:p>
      <w:pPr>
        <w:spacing w:before="120" w:after="0" w:line="408" w:lineRule="exact"/>
        <w:ind w:left="0" w:right="0" w:firstLine="0"/>
        <w:jc w:val="right"/>
      </w:pPr>
      <w:r>
        <w:rPr/>
        <w:t xml:space="preserve">High poverty</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2.00</w:t>
      </w:r>
    </w:p>
    <w:p>
      <w:pPr>
        <w:spacing w:before="0" w:after="0" w:line="408" w:lineRule="exact"/>
        <w:ind w:left="0" w:right="0" w:firstLine="0"/>
        <w:jc w:val="left"/>
        <w:tabs>
          <w:tab w:val="right" w:leader="dot" w:pos="9936"/>
        </w:tabs>
      </w:pPr>
      <w:r>
        <w:rPr/>
        <w:t xml:space="preserve">Grade 4</w:t>
      </w:r>
      <w:r>
        <w:tab/>
      </w:r>
      <w:r>
        <w:rPr/>
        <w:t xml:space="preserve">5.00</w:t>
      </w:r>
    </w:p>
    <w:p>
      <w:pPr>
        <w:spacing w:before="0" w:after="0" w:line="408" w:lineRule="exact"/>
        <w:ind w:left="0" w:right="0" w:firstLine="0"/>
        <w:jc w:val="left"/>
        <w:tabs>
          <w:tab w:val="right" w:leader="dot" w:pos="9936"/>
        </w:tabs>
      </w:pPr>
      <w:r>
        <w:rPr/>
        <w:t xml:space="preserve">Grades 5-6</w:t>
      </w:r>
      <w:r>
        <w:tab/>
      </w:r>
      <w:r>
        <w:rPr/>
        <w:t xml:space="preserve">4.00</w:t>
      </w:r>
    </w:p>
    <w:p>
      <w:pPr>
        <w:spacing w:before="0" w:after="0" w:line="408" w:lineRule="exact"/>
        <w:ind w:left="0" w:right="0" w:firstLine="0"/>
        <w:jc w:val="left"/>
        <w:tabs>
          <w:tab w:val="right" w:leader="dot" w:pos="9936"/>
        </w:tabs>
      </w:pPr>
      <w:r>
        <w:rPr/>
        <w:t xml:space="preserve">Grades 7-8</w:t>
      </w:r>
      <w:r>
        <w:tab/>
      </w:r>
      <w:r>
        <w:rPr/>
        <w:t xml:space="preserve">5.53</w:t>
      </w:r>
    </w:p>
    <w:p>
      <w:pPr>
        <w:spacing w:before="0" w:after="0" w:line="408" w:lineRule="exact"/>
        <w:ind w:left="0" w:right="0" w:firstLine="0"/>
        <w:jc w:val="left"/>
        <w:tabs>
          <w:tab w:val="right" w:leader="dot" w:pos="9936"/>
        </w:tabs>
      </w:pPr>
      <w:r>
        <w:rPr/>
        <w:t xml:space="preserve">Grades 9-12</w:t>
      </w:r>
      <w:r>
        <w:tab/>
      </w:r>
      <w:r>
        <w:rPr/>
        <w:t xml:space="preserve">5.74</w:t>
      </w:r>
    </w:p>
    <w:p>
      <w:pPr>
        <w:spacing w:before="120" w:after="0" w:line="408" w:lineRule="exact"/>
        <w:ind w:left="0" w:right="0" w:firstLine="576"/>
        <w:jc w:val="left"/>
      </w:pPr>
      <w:r>
        <w:rPr/>
        <w:t xml:space="preserve">(2) The staffing units in subsection (1) of this section are an enrichment to and are beyond the state's statutory program of basic education in RCW 28A.150.220 and 28A.150.260. However, if and to the extent that any of these additional staffing units are funded by specific reference to this section in the omnibus operating appropriations act, those units become part of prototypical school funding formulas and a component of the state funding that the legislature deems necessary to support school districts in offering the statutory program of basic education under Article IX, section 1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September 1, 2024.</w:t>
      </w:r>
    </w:p>
    <w:p/>
    <w:p>
      <w:pPr>
        <w:jc w:val="center"/>
      </w:pPr>
      <w:r>
        <w:rPr>
          <w:b/>
        </w:rPr>
        <w:t>--- END ---</w:t>
      </w:r>
    </w:p>
    <w:sectPr>
      <w:pgNumType w:start="1"/>
      <w:footerReference xmlns:r="http://schemas.openxmlformats.org/officeDocument/2006/relationships" r:id="R68c1b1084bae44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5882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505caee3d349f9" /><Relationship Type="http://schemas.openxmlformats.org/officeDocument/2006/relationships/footer" Target="/word/footer1.xml" Id="R68c1b1084bae446b" /></Relationships>
</file>