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9ec586d9124f05" /></Relationships>
</file>

<file path=word/document.xml><?xml version="1.0" encoding="utf-8"?>
<w:document xmlns:w="http://schemas.openxmlformats.org/wordprocessingml/2006/main">
  <w:body>
    <w:p>
      <w:r>
        <w:t>S-3519.3</w:t>
      </w:r>
    </w:p>
    <w:p>
      <w:pPr>
        <w:jc w:val="center"/>
      </w:pPr>
      <w:r>
        <w:t>_______________________________________________</w:t>
      </w:r>
    </w:p>
    <w:p/>
    <w:p>
      <w:pPr>
        <w:jc w:val="center"/>
      </w:pPr>
      <w:r>
        <w:rPr>
          <w:b/>
        </w:rPr>
        <w:t>SENATE BILL 5879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Fortunato</w:t>
      </w:r>
    </w:p>
    <w:p/>
    <w:p>
      <w:r>
        <w:rPr>
          <w:t xml:space="preserve">Prefiled 12/19/23.</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standards for civil proceedings and unprofessional conduct involving child abuse and domestic violence; amending RCW 13.34.102, 26.09.191, and 26.09.197; reenacting and amending RCW 18.130.180 and 26.09.004; adding a new section to chapter 2.56 RCW; and adding new sections to chapter 26.09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administrative office of the courts may develop and implement an ongoing education and training program for judges, magistrates, and other relevant court personnel, including guardians ad litem, counsel for children, and mediators regarding child abuse. The education and training program must include all aspects of the maltreatment of children, including:</w:t>
      </w:r>
    </w:p>
    <w:p>
      <w:pPr>
        <w:spacing w:before="0" w:after="0" w:line="408" w:lineRule="exact"/>
        <w:ind w:left="0" w:right="0" w:firstLine="576"/>
        <w:jc w:val="left"/>
      </w:pPr>
      <w:r>
        <w:rPr/>
        <w:t xml:space="preserve">(a) Sexual abuse;</w:t>
      </w:r>
    </w:p>
    <w:p>
      <w:pPr>
        <w:spacing w:before="0" w:after="0" w:line="408" w:lineRule="exact"/>
        <w:ind w:left="0" w:right="0" w:firstLine="576"/>
        <w:jc w:val="left"/>
      </w:pPr>
      <w:r>
        <w:rPr/>
        <w:t xml:space="preserve">(b) Physical abuse;</w:t>
      </w:r>
    </w:p>
    <w:p>
      <w:pPr>
        <w:spacing w:before="0" w:after="0" w:line="408" w:lineRule="exact"/>
        <w:ind w:left="0" w:right="0" w:firstLine="576"/>
        <w:jc w:val="left"/>
      </w:pPr>
      <w:r>
        <w:rPr/>
        <w:t xml:space="preserve">(c) Psychological and emotional abuse;</w:t>
      </w:r>
    </w:p>
    <w:p>
      <w:pPr>
        <w:spacing w:before="0" w:after="0" w:line="408" w:lineRule="exact"/>
        <w:ind w:left="0" w:right="0" w:firstLine="576"/>
        <w:jc w:val="left"/>
      </w:pPr>
      <w:r>
        <w:rPr/>
        <w:t xml:space="preserve">(d) Implicit and explicit bias;</w:t>
      </w:r>
    </w:p>
    <w:p>
      <w:pPr>
        <w:spacing w:before="0" w:after="0" w:line="408" w:lineRule="exact"/>
        <w:ind w:left="0" w:right="0" w:firstLine="576"/>
        <w:jc w:val="left"/>
      </w:pPr>
      <w:r>
        <w:rPr/>
        <w:t xml:space="preserve">(e) Trauma and neglect; and</w:t>
      </w:r>
    </w:p>
    <w:p>
      <w:pPr>
        <w:spacing w:before="0" w:after="0" w:line="408" w:lineRule="exact"/>
        <w:ind w:left="0" w:right="0" w:firstLine="576"/>
        <w:jc w:val="left"/>
      </w:pPr>
      <w:r>
        <w:rPr/>
        <w:t xml:space="preserve">(f) The impact of child abuse and domestic violence on children.</w:t>
      </w:r>
    </w:p>
    <w:p>
      <w:pPr>
        <w:spacing w:before="0" w:after="0" w:line="408" w:lineRule="exact"/>
        <w:ind w:left="0" w:right="0" w:firstLine="576"/>
        <w:jc w:val="left"/>
      </w:pPr>
      <w:r>
        <w:rPr/>
        <w:t xml:space="preserve">(2) The education and training program under subsection (1) of this section must include the latest best practices from evidence-based, peer-reviewed research by recognized experts, including statewide family violence experts, in the types of child abuse specified under subsection (1) of this section. The education and training program under subsection (1) of this section must be designed to educate and train relevant court personnel on all of the factors listed under RCW 26.09.187 and improve the ability of courts to make appropriate custody decisions that are in the best interest of the child, including education and training regarding the impact of child abuse, domestic abuse, and trauma on a victim.</w:t>
      </w:r>
    </w:p>
    <w:p>
      <w:pPr>
        <w:spacing w:before="0" w:after="0" w:line="408" w:lineRule="exact"/>
        <w:ind w:left="0" w:right="0" w:firstLine="576"/>
        <w:jc w:val="left"/>
      </w:pPr>
      <w:r>
        <w:rPr/>
        <w:t xml:space="preserve">(3) Child and family court investigators, guardians ad litem, evaluators, judicial officers, and commissioners, must complete:</w:t>
      </w:r>
    </w:p>
    <w:p>
      <w:pPr>
        <w:spacing w:before="0" w:after="0" w:line="408" w:lineRule="exact"/>
        <w:ind w:left="0" w:right="0" w:firstLine="576"/>
        <w:jc w:val="left"/>
      </w:pPr>
      <w:r>
        <w:rPr/>
        <w:t xml:space="preserve">(a) No less than 20 hours of initial training; and</w:t>
      </w:r>
    </w:p>
    <w:p>
      <w:pPr>
        <w:spacing w:before="0" w:after="0" w:line="408" w:lineRule="exact"/>
        <w:ind w:left="0" w:right="0" w:firstLine="576"/>
        <w:jc w:val="left"/>
      </w:pPr>
      <w:r>
        <w:rPr/>
        <w:t xml:space="preserve">(b) No less than 15 hours of ongoing training every five years.</w:t>
      </w:r>
    </w:p>
    <w:p>
      <w:pPr>
        <w:spacing w:before="0" w:after="0" w:line="408" w:lineRule="exact"/>
        <w:ind w:left="0" w:right="0" w:firstLine="576"/>
        <w:jc w:val="left"/>
      </w:pPr>
      <w:r>
        <w:rPr/>
        <w:t xml:space="preserve">(4) The education and training program under subsection (1) of this section must conform with the requirements for increased federal grant funding under 34 U.S.C. Sec. 10446(k).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102</w:t>
      </w:r>
      <w:r>
        <w:rPr/>
        <w:t xml:space="preserve"> and 2005 c 282 s 26 are each amended to read as follows:</w:t>
      </w:r>
    </w:p>
    <w:p>
      <w:pPr>
        <w:spacing w:before="0" w:after="0" w:line="408" w:lineRule="exact"/>
        <w:ind w:left="0" w:right="0" w:firstLine="576"/>
        <w:jc w:val="left"/>
      </w:pPr>
      <w:r>
        <w:rPr/>
        <w:t xml:space="preserve">(1) All guardians ad litem must comply with the </w:t>
      </w:r>
      <w:r>
        <w:rPr>
          <w:u w:val="single"/>
        </w:rPr>
        <w:t xml:space="preserve">following</w:t>
      </w:r>
      <w:r>
        <w:rPr/>
        <w:t xml:space="preserve"> training requirements </w:t>
      </w:r>
      <w:r>
        <w:t>((</w:t>
      </w:r>
      <w:r>
        <w:rPr>
          <w:strike/>
        </w:rPr>
        <w:t xml:space="preserve">established under RCW 2.56.030(15),</w:t>
      </w:r>
      <w:r>
        <w:t>))</w:t>
      </w:r>
      <w:r>
        <w:rPr/>
        <w:t xml:space="preserve"> prior to their appointment in cases under Title 13 RCW, except that volunteer guardians ad litem or court-appointed special advocates may comply with alternative training requirements approved by the administrative office of the courts that meet or exceed the statewide requirements</w:t>
      </w:r>
      <w:r>
        <w:rPr>
          <w:u w:val="single"/>
        </w:rPr>
        <w:t xml:space="preserve">:</w:t>
      </w:r>
    </w:p>
    <w:p>
      <w:pPr>
        <w:spacing w:before="0" w:after="0" w:line="408" w:lineRule="exact"/>
        <w:ind w:left="0" w:right="0" w:firstLine="576"/>
        <w:jc w:val="left"/>
      </w:pPr>
      <w:r>
        <w:rPr>
          <w:u w:val="single"/>
        </w:rPr>
        <w:t xml:space="preserve">(a) Training requirements established under RCW 2.56.030(15); and</w:t>
      </w:r>
    </w:p>
    <w:p>
      <w:pPr>
        <w:spacing w:before="0" w:after="0" w:line="408" w:lineRule="exact"/>
        <w:ind w:left="0" w:right="0" w:firstLine="576"/>
        <w:jc w:val="left"/>
      </w:pPr>
      <w:r>
        <w:rPr>
          <w:u w:val="single"/>
        </w:rPr>
        <w:t xml:space="preserve">(b) Training requirements established under section 1 of this act</w:t>
      </w:r>
      <w:r>
        <w:rPr/>
        <w:t xml:space="preserve">.</w:t>
      </w:r>
    </w:p>
    <w:p>
      <w:pPr>
        <w:spacing w:before="0" w:after="0" w:line="408" w:lineRule="exact"/>
        <w:ind w:left="0" w:right="0" w:firstLine="576"/>
        <w:jc w:val="left"/>
      </w:pPr>
      <w:r>
        <w:rPr/>
        <w:t xml:space="preserve">(2)(a) Each guardian ad litem program for compensated guardians ad litem shall establish a rotational registry system for the appointment of guardians ad litem. If a judicial district does not have a program the court shall establish the rotational registry system. Guardians ad litem shall be selected from the registry except in exceptional circumstances as determined and documented by the court. The parties may make a joint recommendation for the appointment of a guardian ad litem from the registry.</w:t>
      </w:r>
    </w:p>
    <w:p>
      <w:pPr>
        <w:spacing w:before="0" w:after="0" w:line="408" w:lineRule="exact"/>
        <w:ind w:left="0" w:right="0" w:firstLine="576"/>
        <w:jc w:val="left"/>
      </w:pPr>
      <w:r>
        <w:rPr/>
        <w:t xml:space="preserve">(b) In judicial districts with a population over one hundred thousand, a list of three names shall be selected from the registry and given to the parties along with the background information as specified in RCW 13.34.100(3), including their hourly rate for services. Each party may, within three judicial days, strike one name from the list. If more than one name remains on the list, the court shall make the appointment from the names on the list. In the event all three names are stricken the person whose name appears next on the registry shall be appointed.</w:t>
      </w:r>
    </w:p>
    <w:p>
      <w:pPr>
        <w:spacing w:before="0" w:after="0" w:line="408" w:lineRule="exact"/>
        <w:ind w:left="0" w:right="0" w:firstLine="576"/>
        <w:jc w:val="left"/>
      </w:pPr>
      <w:r>
        <w:rPr/>
        <w:t xml:space="preserve">(c) If a party reasonably believes that the appointed guardian ad litem lacks the necessary expertise for the proceeding, charges an hourly rate higher than what is reasonable for the particular proceeding, or has a conflict of interest, the party may, within three judicial days from the appointment, move for substitution of the appointed guardian ad litem by filing a motion with the court.</w:t>
      </w:r>
    </w:p>
    <w:p>
      <w:pPr>
        <w:spacing w:before="0" w:after="0" w:line="408" w:lineRule="exact"/>
        <w:ind w:left="0" w:right="0" w:firstLine="576"/>
        <w:jc w:val="left"/>
      </w:pPr>
      <w:r>
        <w:rPr/>
        <w:t xml:space="preserve">(d) The superior court shall remove any person from the guardian ad litem registry who misrepresents his or her qualifications pursuant to a grievance procedure established by the court.</w:t>
      </w:r>
    </w:p>
    <w:p>
      <w:pPr>
        <w:spacing w:before="0" w:after="0" w:line="408" w:lineRule="exact"/>
        <w:ind w:left="0" w:right="0" w:firstLine="576"/>
        <w:jc w:val="left"/>
      </w:pPr>
      <w:r>
        <w:rPr/>
        <w:t xml:space="preserve">(3) The rotational registry system shall not apply to court-appointed special advocate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2023 c 192 s 2 and 2023 c 122 s 4 are each reenacted and amended to read as follows:</w:t>
      </w:r>
    </w:p>
    <w:p>
      <w:pPr>
        <w:spacing w:before="0" w:after="0" w:line="408" w:lineRule="exact"/>
        <w:ind w:left="0" w:right="0" w:firstLine="576"/>
        <w:jc w:val="left"/>
      </w:pPr>
      <w:r>
        <w:rPr/>
        <w:t xml:space="preserve">Except as provided in RCW 18.130.450, 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(19) The willful betrayal of a practitioner-patient privilege as recognized by law;</w:t>
      </w:r>
    </w:p>
    <w:p>
      <w:pPr>
        <w:spacing w:before="0" w:after="0" w:line="408" w:lineRule="exact"/>
        <w:ind w:left="0" w:right="0" w:firstLine="576"/>
        <w:jc w:val="left"/>
      </w:pPr>
      <w:r>
        <w:rPr/>
        <w:t xml:space="preserve">(20) Violation of chapter 19.68 RCW or a pattern of violations of RCW 41.05.700(8), 48.43.735(8), 48.49.020, 48.49.030, 71.24.335(8), or 74.09.325(8);</w:t>
      </w:r>
    </w:p>
    <w:p>
      <w:pPr>
        <w:spacing w:before="0" w:after="0" w:line="408" w:lineRule="exact"/>
        <w:ind w:left="0" w:right="0" w:firstLine="576"/>
        <w:jc w:val="left"/>
      </w:pPr>
      <w:r>
        <w:rPr/>
        <w:t xml:space="preserve">(21)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(22)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(23) Abuse of a client or patient or sexual contact with a client or patient;</w:t>
      </w:r>
    </w:p>
    <w:p>
      <w:pPr>
        <w:spacing w:before="0" w:after="0" w:line="408" w:lineRule="exact"/>
        <w:ind w:left="0" w:right="0" w:firstLine="576"/>
        <w:jc w:val="left"/>
      </w:pPr>
      <w:r>
        <w:rPr/>
        <w:t xml:space="preserve">(24)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(25) Violation of RCW 18.130.420;</w:t>
      </w:r>
    </w:p>
    <w:p>
      <w:pPr>
        <w:spacing w:before="0" w:after="0" w:line="408" w:lineRule="exact"/>
        <w:ind w:left="0" w:right="0" w:firstLine="576"/>
        <w:jc w:val="left"/>
      </w:pPr>
      <w:r>
        <w:rPr/>
        <w:t xml:space="preserve">(26) Performing conversion therapy on a patient under age eighteen;</w:t>
      </w:r>
    </w:p>
    <w:p>
      <w:pPr>
        <w:spacing w:before="0" w:after="0" w:line="408" w:lineRule="exact"/>
        <w:ind w:left="0" w:right="0" w:firstLine="576"/>
        <w:jc w:val="left"/>
      </w:pPr>
      <w:r>
        <w:rPr/>
        <w:t xml:space="preserve">(27) Violation of RCW 18.130.430;</w:t>
      </w:r>
    </w:p>
    <w:p>
      <w:pPr>
        <w:spacing w:before="0" w:after="0" w:line="408" w:lineRule="exact"/>
        <w:ind w:left="0" w:right="0" w:firstLine="576"/>
        <w:jc w:val="left"/>
      </w:pPr>
      <w:r>
        <w:rPr/>
        <w:t xml:space="preserve">(28) Violation of RCW 18.130.460</w:t>
      </w:r>
      <w:r>
        <w:rPr>
          <w:u w:val="single"/>
        </w:rPr>
        <w:t xml:space="preserve">;</w:t>
      </w:r>
    </w:p>
    <w:p>
      <w:pPr>
        <w:spacing w:before="0" w:after="0" w:line="408" w:lineRule="exact"/>
        <w:ind w:left="0" w:right="0" w:firstLine="576"/>
        <w:jc w:val="left"/>
      </w:pPr>
      <w:r>
        <w:rPr>
          <w:u w:val="single"/>
        </w:rPr>
        <w:t xml:space="preserve">(29) Performing reunification therapy with a parent and child, whereby the parent has physically or sexually abused that child, or has committed acts of domestic violence and has not yet satisfied requirements under RCW 7.105.405(4)(a)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004</w:t>
      </w:r>
      <w:r>
        <w:rPr/>
        <w:t xml:space="preserve"> and 2009 c 502 s 1 are each reenacted and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"Military duties potentially impacting parenting functions" means those obligations imposed, voluntarily or involuntarily, on a parent serving in the armed forces that may interfere with that parent's abilities to perform his or her parenting functions under a temporary or permanent parenting plan. Military duties potentially impacting parenting functions include, but are not limited to:</w:t>
      </w:r>
    </w:p>
    <w:p>
      <w:pPr>
        <w:spacing w:before="0" w:after="0" w:line="408" w:lineRule="exact"/>
        <w:ind w:left="0" w:right="0" w:firstLine="576"/>
        <w:jc w:val="left"/>
      </w:pPr>
      <w:r>
        <w:rPr/>
        <w:t xml:space="preserve">(a) "Deployment," which means the temporary transfer of a service member serving in an active</w:t>
      </w:r>
      <w:r>
        <w:rPr/>
        <w:noBreakHyphen/>
      </w:r>
      <w:r>
        <w:rPr/>
        <w:t xml:space="preserve">duty status to another location in support of a military operation, to include any tour of duty classified by the member's branch of the armed forces as "remote" or "unaccompanied";</w:t>
      </w:r>
    </w:p>
    <w:p>
      <w:pPr>
        <w:spacing w:before="0" w:after="0" w:line="408" w:lineRule="exact"/>
        <w:ind w:left="0" w:right="0" w:firstLine="576"/>
        <w:jc w:val="left"/>
      </w:pPr>
      <w:r>
        <w:rPr/>
        <w:t xml:space="preserve">(b) "Activation" or "mobilization," which means the call</w:t>
      </w:r>
      <w:r>
        <w:rPr/>
        <w:noBreakHyphen/>
      </w:r>
      <w:r>
        <w:rPr/>
        <w:t xml:space="preserve">up of a national guard or reserve service member to extended active</w:t>
      </w:r>
      <w:r>
        <w:rPr/>
        <w:noBreakHyphen/>
      </w:r>
      <w:r>
        <w:rPr/>
        <w:t xml:space="preserve">duty status. For purposes of this definition, "mobilization" does not include national guard or reserve annual training, inactive duty days, or drill weekends; or</w:t>
      </w:r>
    </w:p>
    <w:p>
      <w:pPr>
        <w:spacing w:before="0" w:after="0" w:line="408" w:lineRule="exact"/>
        <w:ind w:left="0" w:right="0" w:firstLine="576"/>
        <w:jc w:val="left"/>
      </w:pPr>
      <w:r>
        <w:rPr/>
        <w:t xml:space="preserve">(c) "Temporary duty," which means the transfer of a service member from one military base or the service member's home to a different location, usually another base, for a limited period of time to accomplish training or to assist in the performance of a noncombat mission.</w:t>
      </w:r>
    </w:p>
    <w:p>
      <w:pPr>
        <w:spacing w:before="0" w:after="0" w:line="408" w:lineRule="exact"/>
        <w:ind w:left="0" w:right="0" w:firstLine="576"/>
        <w:jc w:val="left"/>
      </w:pPr>
      <w:r>
        <w:rPr/>
        <w:t xml:space="preserve">(2) "Parenting functions" means those aspects of the parent-child relationship in which the parent makes decisions and performs functions necessary for the care and growth of the child. Parenting functions include:</w:t>
      </w:r>
    </w:p>
    <w:p>
      <w:pPr>
        <w:spacing w:before="0" w:after="0" w:line="408" w:lineRule="exact"/>
        <w:ind w:left="0" w:right="0" w:firstLine="576"/>
        <w:jc w:val="left"/>
      </w:pPr>
      <w:r>
        <w:rPr/>
        <w:t xml:space="preserve">(a) Maintaining a loving, stable, consistent, and nurturing relationship with the child;</w:t>
      </w:r>
    </w:p>
    <w:p>
      <w:pPr>
        <w:spacing w:before="0" w:after="0" w:line="408" w:lineRule="exact"/>
        <w:ind w:left="0" w:right="0" w:firstLine="576"/>
        <w:jc w:val="left"/>
      </w:pPr>
      <w:r>
        <w:rPr/>
        <w:t xml:space="preserve">(b) Attending to the daily needs of the child, such as feeding, clothing, physical care and grooming, supervision, health care, and day care, and engaging in other activities which are appropriate to the developmental level of the child and that are within the social and economic circumstances of the particular family;</w:t>
      </w:r>
    </w:p>
    <w:p>
      <w:pPr>
        <w:spacing w:before="0" w:after="0" w:line="408" w:lineRule="exact"/>
        <w:ind w:left="0" w:right="0" w:firstLine="576"/>
        <w:jc w:val="left"/>
      </w:pPr>
      <w:r>
        <w:rPr/>
        <w:t xml:space="preserve">(c) Attending to adequate education for the child, including remedial or other education essential to the best interests of the child;</w:t>
      </w:r>
    </w:p>
    <w:p>
      <w:pPr>
        <w:spacing w:before="0" w:after="0" w:line="408" w:lineRule="exact"/>
        <w:ind w:left="0" w:right="0" w:firstLine="576"/>
        <w:jc w:val="left"/>
      </w:pPr>
      <w:r>
        <w:rPr/>
        <w:t xml:space="preserve">(d) Assisting the child in developing and maintaining appropriate interpersonal relationships;</w:t>
      </w:r>
    </w:p>
    <w:p>
      <w:pPr>
        <w:spacing w:before="0" w:after="0" w:line="408" w:lineRule="exact"/>
        <w:ind w:left="0" w:right="0" w:firstLine="576"/>
        <w:jc w:val="left"/>
      </w:pPr>
      <w:r>
        <w:rPr/>
        <w:t xml:space="preserve">(e) Exercising appropriate judgment regarding the child's welfare, consistent with the child's developmental level and the family's social and economic circumstances; and</w:t>
      </w:r>
    </w:p>
    <w:p>
      <w:pPr>
        <w:spacing w:before="0" w:after="0" w:line="408" w:lineRule="exact"/>
        <w:ind w:left="0" w:right="0" w:firstLine="576"/>
        <w:jc w:val="left"/>
      </w:pPr>
      <w:r>
        <w:rPr/>
        <w:t xml:space="preserve">(f) Providing for the financial support of the child.</w:t>
      </w:r>
    </w:p>
    <w:p>
      <w:pPr>
        <w:spacing w:before="0" w:after="0" w:line="408" w:lineRule="exact"/>
        <w:ind w:left="0" w:right="0" w:firstLine="576"/>
        <w:jc w:val="left"/>
      </w:pPr>
      <w:r>
        <w:rPr/>
        <w:t xml:space="preserve">(3) "Permanent parenting plan" means a plan for parenting the child, including allocation of parenting functions, which plan is incorporated in any final decree or decree of modification in an action for dissolution of marriage or domestic partnership, declaration of invalidity, or legal separation.</w:t>
      </w:r>
    </w:p>
    <w:p>
      <w:pPr>
        <w:spacing w:before="0" w:after="0" w:line="408" w:lineRule="exact"/>
        <w:ind w:left="0" w:right="0" w:firstLine="576"/>
        <w:jc w:val="left"/>
      </w:pPr>
      <w:r>
        <w:rPr/>
        <w:t xml:space="preserve">(4) "Temporary parenting plan" means a plan for parenting of the child pending final resolution of any action for dissolution of marriage or domestic partnership, declaration of invalidity, or legal separation which is incorporated in a temporary order.</w:t>
      </w:r>
    </w:p>
    <w:p>
      <w:pPr>
        <w:spacing w:before="0" w:after="0" w:line="408" w:lineRule="exact"/>
        <w:ind w:left="0" w:right="0" w:firstLine="576"/>
        <w:jc w:val="left"/>
      </w:pPr>
      <w:r>
        <w:rPr>
          <w:u w:val="single"/>
        </w:rPr>
        <w:t xml:space="preserve">(5) "Accused party" means a parent in a case to determine parental responsibilities who has been accused of domestic violence or child abuse, including child sexual abuse.</w:t>
      </w:r>
    </w:p>
    <w:p>
      <w:pPr>
        <w:spacing w:before="0" w:after="0" w:line="408" w:lineRule="exact"/>
        <w:ind w:left="0" w:right="0" w:firstLine="576"/>
        <w:jc w:val="left"/>
      </w:pPr>
      <w:r>
        <w:rPr>
          <w:u w:val="single"/>
        </w:rPr>
        <w:t xml:space="preserve">(6) "Protective party" means a parent in a case to determine parental responsibilities who is competent, protective, not sexually or physically abusive, and with whom a child is bonded or attached.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2021 c 215 s 134 are each amended to read as follows:</w:t>
      </w:r>
    </w:p>
    <w:p>
      <w:pPr>
        <w:spacing w:before="0" w:after="0" w:line="408" w:lineRule="exact"/>
        <w:ind w:left="0" w:right="0" w:firstLine="576"/>
        <w:jc w:val="left"/>
      </w:pPr>
      <w:r>
        <w:rPr/>
        <w:t xml:space="preserve">(1) The permanent parenting plan shall not require mutual decision-making or designation of a dispute resolution process other than court action if it is found that a parent has engaged in any of the following conduct: (a) Willful abandonment that continues for an extended period of time or substantial refusal to perform parenting functions; (b) physical, sexual, or a pattern of emotional abuse of a child; or (c) a history of acts of domestic violence as defined in RCW 7.105.010 or an assault or sexual assault that causes grievous bodily harm or the fear of such harm or that results in a pregnancy.</w:t>
      </w:r>
    </w:p>
    <w:p>
      <w:pPr>
        <w:spacing w:before="0" w:after="0" w:line="408" w:lineRule="exact"/>
        <w:ind w:left="0" w:right="0" w:firstLine="576"/>
        <w:jc w:val="left"/>
      </w:pPr>
      <w:r>
        <w:rPr/>
        <w:t xml:space="preserve">(2)(a) The parent's residential time with the child shall be limited if it is found that the parent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7.105.010 or an assault or sexual assault that causes grievous bodily harm or the fear of such harm or that results in a pregnancy;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7.105.010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The court shall not enter an order under (a) of this subsection allowing a parent to have contact with a child if the parent has been found by clear and convincing evidence pursuant to RCW 26.26A.465 to have committed sexual assault, as defined in RCW 26.26A.465, against the child's parent, and that the child was born within three hundred twenty days of the sexual assault.</w:t>
      </w:r>
    </w:p>
    <w:p>
      <w:pPr>
        <w:spacing w:before="0" w:after="0" w:line="408" w:lineRule="exact"/>
        <w:ind w:left="0" w:right="0" w:firstLine="576"/>
        <w:jc w:val="left"/>
      </w:pPr>
      <w:r>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7.105 RCW or former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t xml:space="preserve">(a) A parent's neglect or substantial nonperformance of parenting functions;</w:t>
      </w:r>
    </w:p>
    <w:p>
      <w:pPr>
        <w:spacing w:before="0" w:after="0" w:line="408" w:lineRule="exact"/>
        <w:ind w:left="0" w:right="0" w:firstLine="576"/>
        <w:jc w:val="left"/>
      </w:pPr>
      <w:r>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t xml:space="preserve">(d) The absence or substantial impairment of emotional ties between the parent and the child;</w:t>
      </w:r>
    </w:p>
    <w:p>
      <w:pPr>
        <w:spacing w:before="0" w:after="0" w:line="408" w:lineRule="exact"/>
        <w:ind w:left="0" w:right="0" w:firstLine="576"/>
        <w:jc w:val="left"/>
      </w:pPr>
      <w:r>
        <w:rPr/>
        <w:t xml:space="preserve">(e) The abusive use of conflict by the parent which creates the danger of serious damage to the child's psychological development. Abusive use of conflict includes, but is not limited to, abusive litigation as defined in RCW 26.51.020. If the court finds a parent has engaged in abusive litigation, the court may impose any restrictions or remedies set forth in chapter 26.51 RCW in addition to including a finding in the parenting plan. Litigation that is aggressive or improper but that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p>
    <w:p>
      <w:pPr>
        <w:spacing w:before="0" w:after="0" w:line="408" w:lineRule="exact"/>
        <w:ind w:left="0" w:right="0" w:firstLine="576"/>
        <w:jc w:val="left"/>
      </w:pPr>
      <w:r>
        <w:rPr/>
        <w:t xml:space="preserve">(f) A parent has withheld from the other parent access to the child for a protracted period without good cause; or</w:t>
      </w:r>
    </w:p>
    <w:p>
      <w:pPr>
        <w:spacing w:before="0" w:after="0" w:line="408" w:lineRule="exact"/>
        <w:ind w:left="0" w:right="0" w:firstLine="576"/>
        <w:jc w:val="left"/>
      </w:pPr>
      <w:r>
        <w:rPr/>
        <w:t xml:space="preserve">(g) Such other factors or conduct as the court expressly finds adverse to the best interests of the child.</w:t>
      </w:r>
    </w:p>
    <w:p>
      <w:pPr>
        <w:spacing w:before="0" w:after="0" w:line="408" w:lineRule="exact"/>
        <w:ind w:left="0" w:right="0" w:firstLine="576"/>
        <w:jc w:val="left"/>
      </w:pPr>
      <w:r>
        <w:rPr/>
        <w:t xml:space="preserve">(4) In cases involving allegations of limiting factors under subsection (2)(a)(ii) and (iii) of this section</w:t>
      </w:r>
      <w:r>
        <w:t>((</w:t>
      </w:r>
      <w:r>
        <w:rPr>
          <w:strike/>
        </w:rPr>
        <w:t xml:space="preserve">, both</w:t>
      </w:r>
      <w:r>
        <w:t>))</w:t>
      </w:r>
      <w:r>
        <w:rPr>
          <w:u w:val="single"/>
        </w:rPr>
        <w:t xml:space="preserve">:</w:t>
      </w:r>
    </w:p>
    <w:p>
      <w:pPr>
        <w:spacing w:before="0" w:after="0" w:line="408" w:lineRule="exact"/>
        <w:ind w:left="0" w:right="0" w:firstLine="576"/>
        <w:jc w:val="left"/>
      </w:pPr>
      <w:r>
        <w:rPr>
          <w:u w:val="single"/>
        </w:rPr>
        <w:t xml:space="preserve">(a) Both</w:t>
      </w:r>
      <w:r>
        <w:rPr/>
        <w:t xml:space="preserve"> parties shall be screened to determine the appropriateness of a comprehensive assessment regarding the impact of the limiting factor on the child and the parties</w:t>
      </w:r>
      <w:r>
        <w:rPr>
          <w:u w:val="single"/>
        </w:rPr>
        <w:t xml:space="preserve">; and</w:t>
      </w:r>
    </w:p>
    <w:p>
      <w:pPr>
        <w:spacing w:before="0" w:after="0" w:line="408" w:lineRule="exact"/>
        <w:ind w:left="0" w:right="0" w:firstLine="576"/>
        <w:jc w:val="left"/>
      </w:pPr>
      <w:r>
        <w:rPr>
          <w:u w:val="single"/>
        </w:rPr>
        <w:t xml:space="preserve">(b) The court shall consider the evidence outlined in section 7 of this act</w:t>
      </w:r>
      <w:r>
        <w:rPr/>
        <w:t xml:space="preserve">.</w:t>
      </w:r>
    </w:p>
    <w:p>
      <w:pPr>
        <w:spacing w:before="0" w:after="0" w:line="408" w:lineRule="exact"/>
        <w:ind w:left="0" w:right="0" w:firstLine="576"/>
        <w:jc w:val="left"/>
      </w:pPr>
      <w:r>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t xml:space="preserve">(7) </w:t>
      </w:r>
      <w:r>
        <w:rPr>
          <w:u w:val="single"/>
        </w:rPr>
        <w:t xml:space="preserve">The court may not use the parenting plan for purposes prohibited in section 8(1) of this act and any reunification plan must comply with section 8(2) of this act.</w:t>
      </w:r>
    </w:p>
    <w:p>
      <w:pPr>
        <w:spacing w:before="0" w:after="0" w:line="408" w:lineRule="exact"/>
        <w:ind w:left="0" w:right="0" w:firstLine="576"/>
        <w:jc w:val="left"/>
      </w:pPr>
      <w:r>
        <w:rPr>
          <w:u w:val="single"/>
        </w:rPr>
        <w:t xml:space="preserve">(8)</w:t>
      </w:r>
      <w:r>
        <w:rPr/>
        <w:t xml:space="preserve">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197</w:t>
      </w:r>
      <w:r>
        <w:rPr/>
        <w:t xml:space="preserve"> and 2007 c 496 s 604 are each amended to read as follows:</w:t>
      </w:r>
    </w:p>
    <w:p>
      <w:pPr>
        <w:spacing w:before="0" w:after="0" w:line="408" w:lineRule="exact"/>
        <w:ind w:left="0" w:right="0" w:firstLine="576"/>
        <w:jc w:val="left"/>
      </w:pPr>
      <w:r>
        <w:rPr/>
        <w:t xml:space="preserve">After considering the affidavit required by RCW 26.09.194(1) </w:t>
      </w:r>
      <w:r>
        <w:t>((</w:t>
      </w:r>
      <w:r>
        <w:rPr>
          <w:strike/>
        </w:rPr>
        <w:t xml:space="preserve">and</w:t>
      </w:r>
      <w:r>
        <w:t>))</w:t>
      </w:r>
      <w:r>
        <w:rPr>
          <w:u w:val="single"/>
        </w:rPr>
        <w:t xml:space="preserve">,</w:t>
      </w:r>
      <w:r>
        <w:rPr/>
        <w:t xml:space="preserve"> other relevant evidence presented, </w:t>
      </w:r>
      <w:r>
        <w:rPr>
          <w:u w:val="single"/>
        </w:rPr>
        <w:t xml:space="preserve">and any evident mandatory limitations under RCW 26.09.191,</w:t>
      </w:r>
      <w:r>
        <w:rPr/>
        <w:t xml:space="preserve"> the court shall make a temporary parenting plan that is in the best interest of the child. In making this determination, the court shall give particular consideration to:</w:t>
      </w:r>
    </w:p>
    <w:p>
      <w:pPr>
        <w:spacing w:before="0" w:after="0" w:line="408" w:lineRule="exact"/>
        <w:ind w:left="0" w:right="0" w:firstLine="576"/>
        <w:jc w:val="left"/>
      </w:pPr>
      <w:r>
        <w:rPr/>
        <w:t xml:space="preserve">(1) The relative strength, nature, and stability of the child's relationship with each parent; and</w:t>
      </w:r>
    </w:p>
    <w:p>
      <w:pPr>
        <w:spacing w:before="0" w:after="0" w:line="408" w:lineRule="exact"/>
        <w:ind w:left="0" w:right="0" w:firstLine="576"/>
        <w:jc w:val="left"/>
      </w:pPr>
      <w:r>
        <w:rPr/>
        <w:t xml:space="preserve">(2) Which parenting arrangements will cause the least disruption to the child's emotional stability while the action is pending.</w:t>
      </w:r>
    </w:p>
    <w:p>
      <w:pPr>
        <w:spacing w:before="0" w:after="0" w:line="408" w:lineRule="exact"/>
        <w:ind w:left="0" w:right="0" w:firstLine="576"/>
        <w:jc w:val="left"/>
      </w:pPr>
      <w:r>
        <w:rPr/>
        <w:t xml:space="preserve">The court shall also consider the factors used to determine residential provisions in the permanent parenting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all proceedings brought pursuant to this title concerning the allocation of parental responsibilities with respect to a child in which a claim of domestic violence or child abuse, including child sexual abuse, has been made to the court, or the court has reason to believe that a party has committed domestic violence or child abuse, including child sexual abuse, the court shall:</w:t>
      </w:r>
    </w:p>
    <w:p>
      <w:pPr>
        <w:spacing w:before="0" w:after="0" w:line="408" w:lineRule="exact"/>
        <w:ind w:left="0" w:right="0" w:firstLine="576"/>
        <w:jc w:val="left"/>
      </w:pPr>
      <w:r>
        <w:rPr/>
        <w:t xml:space="preserve">(a) Consider the admission of expert testimony and evidence if the expert demonstrates expertise and experience working with victims of domestic violence or child abuse, including child sexual abuse, that is not solely forensic in nature; and</w:t>
      </w:r>
    </w:p>
    <w:p>
      <w:pPr>
        <w:spacing w:before="0" w:after="0" w:line="408" w:lineRule="exact"/>
        <w:ind w:left="0" w:right="0" w:firstLine="576"/>
        <w:jc w:val="left"/>
      </w:pPr>
      <w:r>
        <w:rPr/>
        <w:t xml:space="preserve">(b) Consider evidence of past sexual or physical abuse committed by the accused party, including:</w:t>
      </w:r>
    </w:p>
    <w:p>
      <w:pPr>
        <w:spacing w:before="0" w:after="0" w:line="408" w:lineRule="exact"/>
        <w:ind w:left="0" w:right="0" w:firstLine="576"/>
        <w:jc w:val="left"/>
      </w:pPr>
      <w:r>
        <w:rPr/>
        <w:t xml:space="preserve">(i) Any past or current protection or restraining orders against the accused party, including protection or restraining orders that raise sexual violence or abuse;</w:t>
      </w:r>
    </w:p>
    <w:p>
      <w:pPr>
        <w:spacing w:before="0" w:after="0" w:line="408" w:lineRule="exact"/>
        <w:ind w:left="0" w:right="0" w:firstLine="576"/>
        <w:jc w:val="left"/>
      </w:pPr>
      <w:r>
        <w:rPr/>
        <w:t xml:space="preserve">(ii) Arrests of the accused party for domestic violence, sexual violence, or child abuse;</w:t>
      </w:r>
    </w:p>
    <w:p>
      <w:pPr>
        <w:spacing w:before="0" w:after="0" w:line="408" w:lineRule="exact"/>
        <w:ind w:left="0" w:right="0" w:firstLine="576"/>
        <w:jc w:val="left"/>
      </w:pPr>
      <w:r>
        <w:rPr/>
        <w:t xml:space="preserve">(iii) Convictions of the accused party for domestic violence, sexual violence, or child abuse; or</w:t>
      </w:r>
    </w:p>
    <w:p>
      <w:pPr>
        <w:spacing w:before="0" w:after="0" w:line="408" w:lineRule="exact"/>
        <w:ind w:left="0" w:right="0" w:firstLine="576"/>
        <w:jc w:val="left"/>
      </w:pPr>
      <w:r>
        <w:rPr/>
        <w:t xml:space="preserve">(iv) Other documentation, including letters from a victim advocate or victim service provider, if the victim consents to such disclosure; medical records; or a letter to a landlord to break a lease.</w:t>
      </w:r>
    </w:p>
    <w:p>
      <w:pPr>
        <w:spacing w:before="0" w:after="0" w:line="408" w:lineRule="exact"/>
        <w:ind w:left="0" w:right="0" w:firstLine="576"/>
        <w:jc w:val="left"/>
      </w:pPr>
      <w:r>
        <w:rPr/>
        <w:t xml:space="preserve">(2) In compliance with the federal keeping children safe from family violence act, Title 34 U.S.C. Sec. 10446, as amended, any neutral professional appointed by a court to express an opinion relating to abuse, trauma, or the behaviors of victims and perpetrators of abuse and trauma during a proceeding to allocate parental responsibilities shall possess demonstrated expertise and experience in working with victims of domestic violence or child abuse, including child sexual abuse, that is not solely of a forensic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determining allocation of parental responsibilities in proceedings brought pursuant to this chapter in which a claim of domestic violence or child abuse, including child sexual abuse, has been made to the court, or the court has reason to believe that a party has committed domestic violence or child abuse, including child sexual abuse, a court shall not:</w:t>
      </w:r>
    </w:p>
    <w:p>
      <w:pPr>
        <w:spacing w:before="0" w:after="0" w:line="408" w:lineRule="exact"/>
        <w:ind w:left="0" w:right="0" w:firstLine="576"/>
        <w:jc w:val="left"/>
      </w:pPr>
      <w:r>
        <w:rPr/>
        <w:t xml:space="preserve">(a) Remove a child from a protective party solely to improve a deficient relationship with an accused party;</w:t>
      </w:r>
    </w:p>
    <w:p>
      <w:pPr>
        <w:spacing w:before="0" w:after="0" w:line="408" w:lineRule="exact"/>
        <w:ind w:left="0" w:right="0" w:firstLine="576"/>
        <w:jc w:val="left"/>
      </w:pPr>
      <w:r>
        <w:rPr/>
        <w:t xml:space="preserve">(b) Restrict contact between a child and a protective party solely to improve a deficient relationship with an accused party;</w:t>
      </w:r>
    </w:p>
    <w:p>
      <w:pPr>
        <w:spacing w:before="0" w:after="0" w:line="408" w:lineRule="exact"/>
        <w:ind w:left="0" w:right="0" w:firstLine="576"/>
        <w:jc w:val="left"/>
      </w:pPr>
      <w:r>
        <w:rPr/>
        <w:t xml:space="preserve">(c) Order reunification treatment, unless there is generally accepted and scientifically valid proof of the safety, effectiveness, and therapeutic value of the reunification treatment; or</w:t>
      </w:r>
    </w:p>
    <w:p>
      <w:pPr>
        <w:spacing w:before="0" w:after="0" w:line="408" w:lineRule="exact"/>
        <w:ind w:left="0" w:right="0" w:firstLine="576"/>
        <w:jc w:val="left"/>
      </w:pPr>
      <w:r>
        <w:rPr/>
        <w:t xml:space="preserve">(d) Order reunification treatment that is predicated on cutting off the relationship between a child and the protective party.</w:t>
      </w:r>
    </w:p>
    <w:p>
      <w:pPr>
        <w:spacing w:before="0" w:after="0" w:line="408" w:lineRule="exact"/>
        <w:ind w:left="0" w:right="0" w:firstLine="576"/>
        <w:jc w:val="left"/>
      </w:pPr>
      <w:r>
        <w:rPr/>
        <w:t xml:space="preserve">(2) If a court issues an order to remediate the resistance of a child to have contact with an accused party, the order must primarily address the behavior of the accused party, who shall accept responsibility for the accused party's actions that negatively affected the accused party's relationship with the child, and the offender shall satisfy the requirements of RCW 7.105.405(4)(a) before the court orders a protective party to take steps to improve the relationship with the accused party. The court may not issue an order to remediate the resistance of a child to have contact with an accused party, who was found to have sexually abused the child.</w:t>
      </w:r>
    </w:p>
    <w:p/>
    <w:p>
      <w:pPr>
        <w:jc w:val="center"/>
      </w:pPr>
      <w:r>
        <w:rPr>
          <w:b/>
        </w:rPr>
        <w:t>--- END ---</w:t>
      </w:r>
    </w:p>
    <w:sectPr>
      <w:pgNumType w:start="1"/>
      <w:footerReference xmlns:r="http://schemas.openxmlformats.org/officeDocument/2006/relationships" r:id="R4c9d6e139acc4f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3bb4395025432a" /><Relationship Type="http://schemas.openxmlformats.org/officeDocument/2006/relationships/footer" Target="/word/footer1.xml" Id="R4c9d6e139acc4fc7" /></Relationships>
</file>