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3cf01efa049cf" /></Relationships>
</file>

<file path=word/document.xml><?xml version="1.0" encoding="utf-8"?>
<w:document xmlns:w="http://schemas.openxmlformats.org/wordprocessingml/2006/main">
  <w:body>
    <w:p>
      <w:r>
        <w:t>S-3555.2</w:t>
      </w:r>
    </w:p>
    <w:p>
      <w:pPr>
        <w:jc w:val="center"/>
      </w:pPr>
      <w:r>
        <w:t>_______________________________________________</w:t>
      </w:r>
    </w:p>
    <w:p/>
    <w:p>
      <w:pPr>
        <w:jc w:val="center"/>
      </w:pPr>
      <w:r>
        <w:rPr>
          <w:b/>
        </w:rPr>
        <w:t>SENATE BILL 5809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Lovick, Cleveland, Salomon, Shewmake, L. Wilson, Braun, C. Wilson, Lovelett, Dozier, Gildon, Padden, and Torres</w:t>
      </w:r>
    </w:p>
    <w:p/>
    <w:p>
      <w:r>
        <w:rPr>
          <w:t xml:space="preserve">Prefiled 12/06/23.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funding for charter public schools; amending RCW 28A.710.280;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diverse over the last several decades. The legislature also finds that as the demographics of our state change, historically and currently marginalized communities still do not have the same opportunities to meet parity as their nonmarginalized counterparts across nearly every measure including education, poverty, employment, health, and more. Inequities based on race, ethnicity, gender, and other characteristics continue to be deep, pervasive, and persistent, and they come at a great economic and social cost.</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historically and currently marginalized groups and that providing equitable enrichment funding for charter public school students is an important step toward promoting opportunities for communities that have not always been well-served by traditional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2021 c 111 s 12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 </w:t>
      </w:r>
      <w:r>
        <w:rPr>
          <w:u w:val="single"/>
        </w:rPr>
        <w:t xml:space="preserve">A charter school is eligible to apply for state grants on the same basis as a school district.</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w:t>
      </w:r>
      <w:r>
        <w:t>((</w:t>
      </w:r>
      <w:r>
        <w:rPr>
          <w:strike/>
        </w:rPr>
        <w:t xml:space="preserve">(v)</w:t>
      </w:r>
      <w:r>
        <w:t>))</w:t>
      </w:r>
      <w:r>
        <w:rPr/>
        <w:t xml:space="preserve"> </w:t>
      </w:r>
      <w:r>
        <w:rPr>
          <w:u w:val="single"/>
        </w:rPr>
        <w:t xml:space="preserve">(vi)</w:t>
      </w:r>
      <w:r>
        <w:rPr/>
        <w:t xml:space="preserve">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w:t>
      </w:r>
      <w:r>
        <w:t>((</w:t>
      </w:r>
      <w:r>
        <w:rPr>
          <w:strike/>
        </w:rPr>
        <w:t xml:space="preserve">and</w:t>
      </w:r>
      <w:r>
        <w:t>))</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r>
        <w:rPr>
          <w:u w:val="single"/>
        </w:rPr>
        <w:t xml:space="preserve">; and</w:t>
      </w:r>
    </w:p>
    <w:p>
      <w:pPr>
        <w:spacing w:before="0" w:after="0" w:line="408" w:lineRule="exact"/>
        <w:ind w:left="0" w:right="0" w:firstLine="576"/>
        <w:jc w:val="left"/>
      </w:pPr>
      <w:r>
        <w:rPr>
          <w:u w:val="single"/>
        </w:rPr>
        <w:t xml:space="preserve">(vi) Enrichment of the state's statutory program of basic education as authorized under RCW 28A.150.276 for charter schools located within the boundaries of a school district in which the voters of such school district have authorized tax levies for enrichment funding as provided under RCW 84.52.053(1). The superintendent of public instruction must distribute to each charter school a per-pupil enrichment grant in the amount of the state local effort assistance threshold as defined in RCW 28A.500.015</w:t>
      </w:r>
      <w:r>
        <w:rPr/>
        <w:t xml:space="preserve">.</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
      <w:pPr>
        <w:jc w:val="center"/>
      </w:pPr>
      <w:r>
        <w:rPr>
          <w:b/>
        </w:rPr>
        <w:t>--- END ---</w:t>
      </w:r>
    </w:p>
    <w:sectPr>
      <w:pgNumType w:start="1"/>
      <w:footerReference xmlns:r="http://schemas.openxmlformats.org/officeDocument/2006/relationships" r:id="R731481b3d23640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47ec7be754e9f" /><Relationship Type="http://schemas.openxmlformats.org/officeDocument/2006/relationships/footer" Target="/word/footer1.xml" Id="R731481b3d23640c4" /></Relationships>
</file>