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5db3a413904b23" /></Relationships>
</file>

<file path=word/document.xml><?xml version="1.0" encoding="utf-8"?>
<w:document xmlns:w="http://schemas.openxmlformats.org/wordprocessingml/2006/main">
  <w:body>
    <w:p>
      <w:r>
        <w:t>S-1407.1</w:t>
      </w:r>
    </w:p>
    <w:p>
      <w:pPr>
        <w:jc w:val="center"/>
      </w:pPr>
      <w:r>
        <w:t>_______________________________________________</w:t>
      </w:r>
    </w:p>
    <w:p/>
    <w:p>
      <w:pPr>
        <w:jc w:val="center"/>
      </w:pPr>
      <w:r>
        <w:rPr>
          <w:b/>
        </w:rPr>
        <w:t>SENATE BILL 5739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Dozier, and Padden</w:t>
      </w:r>
    </w:p>
    <w:p/>
    <w:p>
      <w:r>
        <w:rPr>
          <w:t xml:space="preserve">Read first time 02/13/23.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notice to members of the community where a sexually violent predator will reside; and amending RCW 71.09.140 and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140</w:t>
      </w:r>
      <w:r>
        <w:rPr/>
        <w:t xml:space="preserve"> and 2021 c 236 s 8 are each amended to read as follows:</w:t>
      </w:r>
    </w:p>
    <w:p>
      <w:pPr>
        <w:spacing w:before="0" w:after="0" w:line="408" w:lineRule="exact"/>
        <w:ind w:left="0" w:right="0" w:firstLine="576"/>
        <w:jc w:val="left"/>
      </w:pPr>
      <w:r>
        <w:rPr/>
        <w:t xml:space="preserve">(1)(a) At the earliest possible date, and in no event later than 30 days before conditional release, change of address for a person on conditional release, or unconditional discharge, except in the event of escape, the department of social and health services shall send written notice of conditional release, unconditional discharge, or escape, to the following:</w:t>
      </w:r>
    </w:p>
    <w:p>
      <w:pPr>
        <w:spacing w:before="0" w:after="0" w:line="408" w:lineRule="exact"/>
        <w:ind w:left="0" w:right="0" w:firstLine="576"/>
        <w:jc w:val="left"/>
      </w:pPr>
      <w:r>
        <w:rPr/>
        <w:t xml:space="preserve">(i) The chief of police of the city, if any, in which the person will reside or in which placement will be made under a less restrictive alternative;</w:t>
      </w:r>
    </w:p>
    <w:p>
      <w:pPr>
        <w:spacing w:before="0" w:after="0" w:line="408" w:lineRule="exact"/>
        <w:ind w:left="0" w:right="0" w:firstLine="576"/>
        <w:jc w:val="left"/>
      </w:pPr>
      <w:r>
        <w:rPr/>
        <w:t xml:space="preserve">(ii) The sheriff of the county in which the person will reside or in which placement will be made under a less restrictive alternative; </w:t>
      </w:r>
      <w:r>
        <w:t>((</w:t>
      </w:r>
      <w:r>
        <w:rPr>
          <w:strike/>
        </w:rPr>
        <w:t xml:space="preserve">and</w:t>
      </w:r>
      <w:r>
        <w:t>))</w:t>
      </w:r>
    </w:p>
    <w:p>
      <w:pPr>
        <w:spacing w:before="0" w:after="0" w:line="408" w:lineRule="exact"/>
        <w:ind w:left="0" w:right="0" w:firstLine="576"/>
        <w:jc w:val="left"/>
      </w:pPr>
      <w:r>
        <w:rPr/>
        <w:t xml:space="preserve">(iii) The sheriff of the county where the person was last convicted of a sexually violent offense, if the department does not know where the person will reside</w:t>
      </w:r>
      <w:r>
        <w:rPr>
          <w:u w:val="single"/>
        </w:rPr>
        <w:t xml:space="preserve">;</w:t>
      </w:r>
    </w:p>
    <w:p>
      <w:pPr>
        <w:spacing w:before="0" w:after="0" w:line="408" w:lineRule="exact"/>
        <w:ind w:left="0" w:right="0" w:firstLine="576"/>
        <w:jc w:val="left"/>
      </w:pPr>
      <w:r>
        <w:rPr>
          <w:u w:val="single"/>
        </w:rPr>
        <w:t xml:space="preserve">(iv) The members of the community in which the person being released will reside. For purposes of this section "member of the community" means any person with a primary residence located in the same local jurisdiction that the person being released will reside; and</w:t>
      </w:r>
    </w:p>
    <w:p>
      <w:pPr>
        <w:spacing w:before="0" w:after="0" w:line="408" w:lineRule="exact"/>
        <w:ind w:left="0" w:right="0" w:firstLine="576"/>
        <w:jc w:val="left"/>
      </w:pPr>
      <w:r>
        <w:rPr>
          <w:u w:val="single"/>
        </w:rPr>
        <w:t xml:space="preserve">(v) The members of the legislature of any district where the person being released will reside</w:t>
      </w:r>
      <w:r>
        <w:rPr/>
        <w:t xml:space="preserve">.</w:t>
      </w:r>
    </w:p>
    <w:p>
      <w:pPr>
        <w:spacing w:before="0" w:after="0" w:line="408" w:lineRule="exact"/>
        <w:ind w:left="0" w:right="0" w:firstLine="576"/>
        <w:jc w:val="left"/>
      </w:pPr>
      <w:r>
        <w:rPr/>
        <w:t xml:space="preserve">The department shall notify the state patrol of the release of all sexually violent predators and that information shall be placed in the Washington crime information center for dissemination to all law enforcement.</w:t>
      </w:r>
    </w:p>
    <w:p>
      <w:pPr>
        <w:spacing w:before="0" w:after="0" w:line="408" w:lineRule="exact"/>
        <w:ind w:left="0" w:right="0" w:firstLine="576"/>
        <w:jc w:val="left"/>
      </w:pPr>
      <w:r>
        <w:rPr/>
        <w:t xml:space="preserve">(b) A return to total confinement or to a secure community transition facility pending revocation or modification proceedings is not considered a change of address for purposes of (a) of this subsection, and an additional community notification process is not required, unless conditional release is revoked under RCW 71.09.098 or the return lasts longer than 90 days.</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person found to be a sexually violent predator under this chapter:</w:t>
      </w:r>
    </w:p>
    <w:p>
      <w:pPr>
        <w:spacing w:before="0" w:after="0" w:line="408" w:lineRule="exact"/>
        <w:ind w:left="0" w:right="0" w:firstLine="576"/>
        <w:jc w:val="left"/>
      </w:pPr>
      <w:r>
        <w:rPr/>
        <w:t xml:space="preserve">(a) The victim or victims of any sexually violent offenses for which the person was convicted in the past or the victim's next of kin if the crime was a homicide. "Next of kin" as used in this section means a person's spouse, parents, siblings, and children;</w:t>
      </w:r>
    </w:p>
    <w:p>
      <w:pPr>
        <w:spacing w:before="0" w:after="0" w:line="408" w:lineRule="exact"/>
        <w:ind w:left="0" w:right="0" w:firstLine="576"/>
        <w:jc w:val="left"/>
      </w:pPr>
      <w:r>
        <w:rPr/>
        <w:t xml:space="preserve">(b) Any witnesses who testified against the person in his or her commitment trial under RCW 71.09.060; and</w:t>
      </w:r>
    </w:p>
    <w:p>
      <w:pPr>
        <w:spacing w:before="0" w:after="0" w:line="408" w:lineRule="exact"/>
        <w:ind w:left="0" w:right="0" w:firstLine="576"/>
        <w:jc w:val="left"/>
      </w:pPr>
      <w:r>
        <w:rPr/>
        <w:t xml:space="preserve">(c) Any person specified in writing by the prosecuting agency.</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agency to receive the notice, and the notice are confidential and shall not be available to the committed person.</w:t>
      </w:r>
    </w:p>
    <w:p>
      <w:pPr>
        <w:spacing w:before="0" w:after="0" w:line="408" w:lineRule="exact"/>
        <w:ind w:left="0" w:right="0" w:firstLine="576"/>
        <w:jc w:val="left"/>
      </w:pPr>
      <w:r>
        <w:rPr/>
        <w:t xml:space="preserve">(3) If a person committed as a sexually violent predator under this chapter escapes from a department of social and health services facility, the department shall immediately notify, by the most reasonable and expedient means available, the chief of police of the city and the sheriff of the county in which the committed person resided immediately before his or her commitment as a sexually violent predator, or immediately before his or her incarceration for his or her most recent offense. If previously requested, the department shall also notify the witnesses and the victims of the sexually violent offenses for which the person was convicted in the past or the victim's next of kin if the crime was a homicide. If the person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(4) If the victim or victims of any sexually violent offenses for which the person was convicted in the past or the victim's next of kin, or any witness is under the age of 16, the notice required by this section shall be sent to the parents or legal guardian of the child.</w:t>
      </w:r>
    </w:p>
    <w:p>
      <w:pPr>
        <w:spacing w:before="0" w:after="0" w:line="408" w:lineRule="exact"/>
        <w:ind w:left="0" w:right="0" w:firstLine="576"/>
        <w:jc w:val="left"/>
      </w:pPr>
      <w:r>
        <w:rPr/>
        <w:t xml:space="preserve">(5) The department of social and health services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(6) Nothing in this section shall impose any liability upon a chief of police of a city or sheriff of a county for failing to request in writing a notice as provided in subsection (1) of this section.</w:t>
      </w:r>
    </w:p>
    <w:p>
      <w:pPr>
        <w:spacing w:before="0" w:after="0" w:line="408" w:lineRule="exact"/>
        <w:ind w:left="0" w:right="0" w:firstLine="576"/>
        <w:jc w:val="left"/>
      </w:pPr>
      <w:r>
        <w:rPr>
          <w:u w:val="single"/>
        </w:rPr>
        <w:t xml:space="preserve">(7) The notice required by subsections (1) and (2) of this section shall include the address where the person will reside. If the department does not know where the person will reside, the required notice will clearly state that there is no known address for where the person will reside.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2021 c 236 s 6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(4)(a) Prior to authorizing any release to a less restrictive alternative, the court shall impose such conditions upon the person as are necessary to ensure the safety of the community. In imposing conditions, the court must impose a restriction on the proximity of the person's residence to public or private schools providing instruction to kindergarten or any grades one through 12 in accordance with RCW 72.09.340. Courts shall require a minimum distance restriction of </w:t>
      </w:r>
      <w:r>
        <w:t>((</w:t>
      </w:r>
      <w:r>
        <w:rPr>
          <w:strike/>
        </w:rPr>
        <w:t xml:space="preserve">500 feet</w:t>
      </w:r>
      <w:r>
        <w:t>))</w:t>
      </w:r>
      <w:r>
        <w:rPr/>
        <w:t xml:space="preserve"> </w:t>
      </w:r>
      <w:r>
        <w:rPr>
          <w:u w:val="single"/>
        </w:rPr>
        <w:t xml:space="preserve">two miles</w:t>
      </w:r>
      <w:r>
        <w:rPr/>
        <w:t xml:space="preserve"> on the proximity of the person's residence to child care facilities and public or private schools providing instruction to kindergarten or any grades one through 12. The court shall order the department of corrections to investigate the less restrictive alternative and, within 60 days of the order to investigate, recommend any additional conditions to the court. These conditions shall be individualized to address the person's specific risk factors and criminogenic needs and may include, but are not limited to</w:t>
      </w:r>
      <w:r>
        <w:t>((</w:t>
      </w:r>
      <w:r>
        <w:rPr>
          <w:strike/>
        </w:rPr>
        <w:t xml:space="preserve">[,]</w:t>
      </w:r>
      <w:r>
        <w:t>))</w:t>
      </w:r>
      <w:r>
        <w:rPr>
          <w:u w:val="single"/>
        </w:rPr>
        <w:t xml:space="preserve">,</w:t>
      </w:r>
      <w:r>
        <w:rPr/>
        <w:t xml:space="preserve"> the following: Specification of residence or restrictions on residence including distance restrictions, specification of contact with a reasonable number of individuals upon the person's request who are verified by the department of corrections to be appropriate social contacts,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system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proposed by the department, the court shall consider whether the person's less restrictive alternative placement is in accordance with fair share principles.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 the court determines that the person's return to his or her county of commitment would be inappropriate considering any court-issued protection orders, victim safety concerns that cannot be addressed through use of global positioning system technology, the unavailability of appropriate treatment or facilities that would adequately protect the community, negative influences on the person, and the location of family or other persons or organizations offering support to the person. 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t xml:space="preserve">(b)(i) When the department develops a less restrictive alternative placement under this section,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p>
    <w:p>
      <w:pPr>
        <w:spacing w:before="0" w:after="0" w:line="408" w:lineRule="exact"/>
        <w:ind w:left="0" w:right="0" w:firstLine="576"/>
        <w:jc w:val="left"/>
      </w:pPr>
      <w:r>
        <w:rPr/>
        <w:t xml:space="preserve">(iii) When the department develops or proposes a less restrictive alternative placement under this chapter, it shall be considered a predisposition recommendation.</w:t>
      </w:r>
    </w:p>
    <w:p>
      <w:pPr>
        <w:spacing w:before="0" w:after="0" w:line="408" w:lineRule="exact"/>
        <w:ind w:left="0" w:right="0" w:firstLine="576"/>
        <w:jc w:val="left"/>
      </w:pPr>
      <w:r>
        <w:rPr/>
        <w:t xml:space="preserve">(iv) In developing, modifying, and enforcing less restrictive alternatives, the department shall be deemed to be performing a quasi-judicial function.</w:t>
      </w:r>
    </w:p>
    <w:p>
      <w:pPr>
        <w:spacing w:before="0" w:after="0" w:line="408" w:lineRule="exact"/>
        <w:ind w:left="0" w:right="0" w:firstLine="576"/>
        <w:jc w:val="left"/>
      </w:pPr>
      <w:r>
        <w:rPr/>
        <w:t xml:space="preserve">(c) If the committed person is not conditionally released to his or her county of commitment, the department shall provide the law and justice council of the county in which the person is conditionally released with notice and a written explanation, including whether the department remains in compliance with fair share principles regarding releases under this chapter.</w:t>
      </w:r>
    </w:p>
    <w:p>
      <w:pPr>
        <w:spacing w:before="0" w:after="0" w:line="408" w:lineRule="exact"/>
        <w:ind w:left="0" w:right="0" w:firstLine="576"/>
        <w:jc w:val="left"/>
      </w:pPr>
      <w:r>
        <w:rPr/>
        <w:t xml:space="preserve">(d) For purposes of this section, the person's county of commitment means the county of the court which ordered the person's commitment.</w:t>
      </w:r>
    </w:p>
    <w:p>
      <w:pPr>
        <w:spacing w:before="0" w:after="0" w:line="408" w:lineRule="exact"/>
        <w:ind w:left="0" w:right="0" w:firstLine="576"/>
        <w:jc w:val="left"/>
      </w:pPr>
      <w:r>
        <w:rPr/>
        <w:t xml:space="preserve">(e) This subsection (5) does not apply to releases to a secure community transition facility under RCW 71.09.250.</w:t>
      </w:r>
    </w:p>
    <w:p>
      <w:pPr>
        <w:spacing w:before="0" w:after="0" w:line="408" w:lineRule="exact"/>
        <w:ind w:left="0" w:right="0" w:firstLine="576"/>
        <w:jc w:val="left"/>
      </w:pPr>
      <w:r>
        <w:rPr/>
        <w:t xml:space="preserve">(6)(a) When ordered by the court, the department must provide less restrictive alternative treatment that includes, at a minimum:</w:t>
      </w:r>
    </w:p>
    <w:p>
      <w:pPr>
        <w:spacing w:before="0" w:after="0" w:line="408" w:lineRule="exact"/>
        <w:ind w:left="0" w:right="0" w:firstLine="576"/>
        <w:jc w:val="left"/>
      </w:pPr>
      <w:r>
        <w:rPr/>
        <w:t xml:space="preserve">(i) The services identified in the person's discharge plan as outlined in RCW 71.09.080(4);</w:t>
      </w:r>
    </w:p>
    <w:p>
      <w:pPr>
        <w:spacing w:before="0" w:after="0" w:line="408" w:lineRule="exact"/>
        <w:ind w:left="0" w:right="0" w:firstLine="576"/>
        <w:jc w:val="left"/>
      </w:pPr>
      <w:r>
        <w:rPr/>
        <w:t xml:space="preserve">(ii) The assignment of a community care coordinator;</w:t>
      </w:r>
    </w:p>
    <w:p>
      <w:pPr>
        <w:spacing w:before="0" w:after="0" w:line="408" w:lineRule="exact"/>
        <w:ind w:left="0" w:right="0" w:firstLine="576"/>
        <w:jc w:val="left"/>
      </w:pPr>
      <w:r>
        <w:rPr/>
        <w:t xml:space="preserve">(iii) Regular contacts with providers of court-ordered treatment services;</w:t>
      </w:r>
    </w:p>
    <w:p>
      <w:pPr>
        <w:spacing w:before="0" w:after="0" w:line="408" w:lineRule="exact"/>
        <w:ind w:left="0" w:right="0" w:firstLine="576"/>
        <w:jc w:val="left"/>
      </w:pPr>
      <w:r>
        <w:rPr/>
        <w:t xml:space="preserve">(iv) Community escorts, if needed;</w:t>
      </w:r>
    </w:p>
    <w:p>
      <w:pPr>
        <w:spacing w:before="0" w:after="0" w:line="408" w:lineRule="exact"/>
        <w:ind w:left="0" w:right="0" w:firstLine="576"/>
        <w:jc w:val="left"/>
      </w:pPr>
      <w:r>
        <w:rPr/>
        <w:t xml:space="preserve">(v) A transition plan that addresses the person's access to continued services upon unconditional discharge;</w:t>
      </w:r>
    </w:p>
    <w:p>
      <w:pPr>
        <w:spacing w:before="0" w:after="0" w:line="408" w:lineRule="exact"/>
        <w:ind w:left="0" w:right="0" w:firstLine="576"/>
        <w:jc w:val="left"/>
      </w:pPr>
      <w:r>
        <w:rPr/>
        <w:t xml:space="preserve">(vi) Financial support for necessary housing;</w:t>
      </w:r>
    </w:p>
    <w:p>
      <w:pPr>
        <w:spacing w:before="0" w:after="0" w:line="408" w:lineRule="exact"/>
        <w:ind w:left="0" w:right="0" w:firstLine="576"/>
        <w:jc w:val="left"/>
      </w:pPr>
      <w:r>
        <w:rPr/>
        <w:t xml:space="preserve">(vii) Life skills training and disability accommodations, if needed; and</w:t>
      </w:r>
    </w:p>
    <w:p>
      <w:pPr>
        <w:spacing w:before="0" w:after="0" w:line="408" w:lineRule="exact"/>
        <w:ind w:left="0" w:right="0" w:firstLine="576"/>
        <w:jc w:val="left"/>
      </w:pPr>
      <w:r>
        <w:rPr/>
        <w:t xml:space="preserve">(viii) Assistance in pursuing benefits, education, and employment.</w:t>
      </w:r>
    </w:p>
    <w:p>
      <w:pPr>
        <w:spacing w:before="0" w:after="0" w:line="408" w:lineRule="exact"/>
        <w:ind w:left="0" w:right="0" w:firstLine="576"/>
        <w:jc w:val="left"/>
      </w:pPr>
      <w:r>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t xml:space="preserve">(7)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(8)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questions to be determined by the court are whether the person shall continue to be conditionally released to a less restrictive alternative, and if so, whether a modification to the person's less restrictive alternative order is appropriate to ensure the conditional release remains in the best interest of the person and adequate to protect the victim and the community. The court in making its determination shall be aided by the periodic reports filed pursuant to subsection (7) of this section and the opinions of the secretary and other experts or professional persons.</w:t>
      </w:r>
    </w:p>
    <w:p/>
    <w:p>
      <w:pPr>
        <w:jc w:val="center"/>
      </w:pPr>
      <w:r>
        <w:rPr>
          <w:b/>
        </w:rPr>
        <w:t>--- END ---</w:t>
      </w:r>
    </w:p>
    <w:sectPr>
      <w:pgNumType w:start="1"/>
      <w:footerReference xmlns:r="http://schemas.openxmlformats.org/officeDocument/2006/relationships" r:id="Rb7694255f0ce4e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d10da2ccae48c4" /><Relationship Type="http://schemas.openxmlformats.org/officeDocument/2006/relationships/footer" Target="/word/footer1.xml" Id="Rb7694255f0ce4e76" /></Relationships>
</file>