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b32ee1d754e54" /></Relationships>
</file>

<file path=word/document.xml><?xml version="1.0" encoding="utf-8"?>
<w:document xmlns:w="http://schemas.openxmlformats.org/wordprocessingml/2006/main">
  <w:body>
    <w:p>
      <w:r>
        <w:t>S-1592.1</w:t>
      </w:r>
    </w:p>
    <w:p>
      <w:pPr>
        <w:jc w:val="center"/>
      </w:pPr>
      <w:r>
        <w:t>_______________________________________________</w:t>
      </w:r>
    </w:p>
    <w:p/>
    <w:p>
      <w:pPr>
        <w:jc w:val="center"/>
      </w:pPr>
      <w:r>
        <w:rPr>
          <w:b/>
        </w:rPr>
        <w:t>SUBSTITUTE SENATE BILL 5736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Nobles, Holy, Mullet, Hawkins, Randall, Nguyen, Liias, Boehnke, Conway, Hunt, Kuderer, Lovelett, Torres, Trudeau,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high demand workforce shortages; and reenacting and amending RCW 43.79.195.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and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state-funded student aid programs, and workforce development including career connected learning as defined by RCW 28C.30.020. </w:t>
      </w:r>
    </w:p>
    <w:p>
      <w:pPr>
        <w:spacing w:before="0" w:after="0" w:line="408" w:lineRule="exact"/>
        <w:ind w:left="0" w:right="0" w:firstLine="576"/>
        <w:jc w:val="left"/>
      </w:pPr>
      <w:r>
        <w:rPr/>
        <w:t xml:space="preserve">(2) </w:t>
      </w:r>
      <w:r>
        <w:rPr>
          <w:u w:val="single"/>
        </w:rPr>
        <w:t xml:space="preserve">Beginning in fiscal year 2024, and each year thereafter, an amount up to all revenues collected under RCW 82.04.299 must be used for higher education programs that lead to a credential in advanced computing fields and related science, technology, engineering, and math computing fields to increase access and equity, especially for low-income students and students of color. Expenditures from the account under this subsection may be inclusive of the Washington college grant awards of students enrolled in these programs.</w:t>
      </w:r>
    </w:p>
    <w:p>
      <w:pPr>
        <w:spacing w:before="0" w:after="0" w:line="408" w:lineRule="exact"/>
        <w:ind w:left="0" w:right="0" w:firstLine="576"/>
        <w:jc w:val="left"/>
      </w:pPr>
      <w:r>
        <w:rPr>
          <w:u w:val="single"/>
        </w:rPr>
        <w:t xml:space="preserve">(3)</w:t>
      </w:r>
      <w:r>
        <w:rPr/>
        <w:t xml:space="preserve"> Expenditures from the workforce education investment account must be used to supplement, not supplant, other federal, state, and local funding for higher education.</w:t>
      </w:r>
    </w:p>
    <w:p/>
    <w:p>
      <w:pPr>
        <w:jc w:val="center"/>
      </w:pPr>
      <w:r>
        <w:rPr>
          <w:b/>
        </w:rPr>
        <w:t>--- END ---</w:t>
      </w:r>
    </w:p>
    <w:sectPr>
      <w:pgNumType w:start="1"/>
      <w:footerReference xmlns:r="http://schemas.openxmlformats.org/officeDocument/2006/relationships" r:id="R5aab177c884943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087f2b7fe54784" /><Relationship Type="http://schemas.openxmlformats.org/officeDocument/2006/relationships/footer" Target="/word/footer1.xml" Id="R5aab177c88494362" /></Relationships>
</file>