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1d7b2c17994a3b" /></Relationships>
</file>

<file path=word/document.xml><?xml version="1.0" encoding="utf-8"?>
<w:document xmlns:w="http://schemas.openxmlformats.org/wordprocessingml/2006/main">
  <w:body>
    <w:p>
      <w:r>
        <w:t>S-1816.1</w:t>
      </w:r>
    </w:p>
    <w:p>
      <w:pPr>
        <w:jc w:val="center"/>
      </w:pPr>
      <w:r>
        <w:t>_______________________________________________</w:t>
      </w:r>
    </w:p>
    <w:p/>
    <w:p>
      <w:pPr>
        <w:jc w:val="center"/>
      </w:pPr>
      <w:r>
        <w:rPr>
          <w:b/>
        </w:rPr>
        <w:t>SUBSTITUTE SENATE BILL 5687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 Van De Wege)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and supporting postsecondary wrestling grant programs; adding a new section to chapter 28B.77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postsecondary wrestling grant program is created. The purpose of the postsecondary wrestling grant program is to provide funding to institutions of higher education to establish or maintain intercollegiate wrestling programs.</w:t>
      </w:r>
    </w:p>
    <w:p>
      <w:pPr>
        <w:spacing w:before="0" w:after="0" w:line="408" w:lineRule="exact"/>
        <w:ind w:left="0" w:right="0" w:firstLine="576"/>
        <w:jc w:val="left"/>
      </w:pPr>
      <w:r>
        <w:rPr/>
        <w:t xml:space="preserve">(2) The council shall administer the postsecondary wrestling grant program and award grants, based on a competitive grant process. The council shall establish minimum criteria for institutions of higher education to be awarded a grant.</w:t>
      </w:r>
    </w:p>
    <w:p>
      <w:pPr>
        <w:spacing w:before="0" w:after="0" w:line="408" w:lineRule="exact"/>
        <w:ind w:left="0" w:right="0" w:firstLine="576"/>
        <w:jc w:val="left"/>
      </w:pPr>
      <w:r>
        <w:rPr/>
        <w:t xml:space="preserve">(3) Grant funds may be allocated on a one-time or once every four-year basis dependent on the needs of the program and may be used for purposes including, but not limited to, support of one-time start-up costs, equipment, and student scholarships.</w:t>
      </w:r>
    </w:p>
    <w:p>
      <w:pPr>
        <w:spacing w:before="0" w:after="0" w:line="408" w:lineRule="exact"/>
        <w:ind w:left="0" w:right="0" w:firstLine="576"/>
        <w:jc w:val="left"/>
      </w:pPr>
      <w:r>
        <w:rPr/>
        <w:t xml:space="preserve">(4) For purposes of this section, "institutions of higher education" has the same meaning as in RCW 28B.10.016.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Charles Cate II act.</w:t>
      </w:r>
    </w:p>
    <w:p/>
    <w:p>
      <w:pPr>
        <w:jc w:val="center"/>
      </w:pPr>
      <w:r>
        <w:rPr>
          <w:b/>
        </w:rPr>
        <w:t>--- END ---</w:t>
      </w:r>
    </w:p>
    <w:sectPr>
      <w:pgNumType w:start="1"/>
      <w:footerReference xmlns:r="http://schemas.openxmlformats.org/officeDocument/2006/relationships" r:id="R3e080c9d5c3643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3cc9c9bdf84b91" /><Relationship Type="http://schemas.openxmlformats.org/officeDocument/2006/relationships/footer" Target="/word/footer1.xml" Id="R3e080c9d5c364326" /></Relationships>
</file>