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109a459c504085" /></Relationships>
</file>

<file path=word/document.xml><?xml version="1.0" encoding="utf-8"?>
<w:document xmlns:w="http://schemas.openxmlformats.org/wordprocessingml/2006/main">
  <w:body>
    <w:p>
      <w:r>
        <w:t>S-0237.1</w:t>
      </w:r>
    </w:p>
    <w:p>
      <w:pPr>
        <w:jc w:val="center"/>
      </w:pPr>
      <w:r>
        <w:t>_______________________________________________</w:t>
      </w:r>
    </w:p>
    <w:p/>
    <w:p>
      <w:pPr>
        <w:jc w:val="center"/>
      </w:pPr>
      <w:r>
        <w:rPr>
          <w:b/>
        </w:rPr>
        <w:t>SENATE BILL 5681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Liias, Kuderer, Nobles, and Rolfes</w:t>
      </w:r>
    </w:p>
    <w:p/>
    <w:p>
      <w:r>
        <w:rPr>
          <w:t xml:space="preserve">Read first time 02/02/23.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medicare supplemental insurance premiums to be deducted from the calculation of disposable income for the purpose of qualifying for senior property tax programs; amending RCW 84.36.383;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2021 c 220 s 1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w:t>
      </w:r>
    </w:p>
    <w:p>
      <w:pPr>
        <w:spacing w:before="0" w:after="0" w:line="408" w:lineRule="exact"/>
        <w:ind w:left="0" w:right="0" w:firstLine="576"/>
        <w:jc w:val="left"/>
      </w:pPr>
      <w:r>
        <w:rPr/>
        <w:t xml:space="preserve">(c) Health care insurance premiums for medicare under Title XVIII of the social security act </w:t>
      </w:r>
      <w:r>
        <w:rPr>
          <w:u w:val="single"/>
        </w:rPr>
        <w:t xml:space="preserve">and medigap or medicare supplement insurance premiums</w:t>
      </w:r>
      <w:r>
        <w:rPr/>
        <w:t xml:space="preserve">;</w:t>
      </w:r>
    </w:p>
    <w:p>
      <w:pPr>
        <w:spacing w:before="0" w:after="0" w:line="408" w:lineRule="exact"/>
        <w:ind w:left="0" w:right="0" w:firstLine="576"/>
        <w:jc w:val="left"/>
      </w:pPr>
      <w:r>
        <w:rPr/>
        <w:t xml:space="preserve">(d) Costs related to medicare supplemental policies as defined in Title 42 U.S.C. Sec. 1395ss;</w:t>
      </w:r>
    </w:p>
    <w:p>
      <w:pPr>
        <w:spacing w:before="0" w:after="0" w:line="408" w:lineRule="exact"/>
        <w:ind w:left="0" w:right="0" w:firstLine="576"/>
        <w:jc w:val="left"/>
      </w:pPr>
      <w:r>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t xml:space="preserve">(f) Long-term care insurance as defined in RCW 48.84.020;</w:t>
      </w:r>
    </w:p>
    <w:p>
      <w:pPr>
        <w:spacing w:before="0" w:after="0" w:line="408" w:lineRule="exact"/>
        <w:ind w:left="0" w:right="0" w:firstLine="576"/>
        <w:jc w:val="left"/>
      </w:pPr>
      <w:r>
        <w:rPr/>
        <w:t xml:space="preserve">(g) Cost-sharing amounts as defined in RCW 48.43.005;</w:t>
      </w:r>
    </w:p>
    <w:p>
      <w:pPr>
        <w:spacing w:before="0" w:after="0" w:line="408" w:lineRule="exact"/>
        <w:ind w:left="0" w:right="0" w:firstLine="576"/>
        <w:jc w:val="left"/>
      </w:pPr>
      <w:r>
        <w:rPr/>
        <w:t xml:space="preserve">(h) Nebulizers as defined in RCW 82.08.803;</w:t>
      </w:r>
    </w:p>
    <w:p>
      <w:pPr>
        <w:spacing w:before="0" w:after="0" w:line="408" w:lineRule="exact"/>
        <w:ind w:left="0" w:right="0" w:firstLine="576"/>
        <w:jc w:val="left"/>
      </w:pPr>
      <w:r>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t xml:space="preserve">(j) Ostomic items as defined in RCW 82.08.804;</w:t>
      </w:r>
    </w:p>
    <w:p>
      <w:pPr>
        <w:spacing w:before="0" w:after="0" w:line="408" w:lineRule="exact"/>
        <w:ind w:left="0" w:right="0" w:firstLine="576"/>
        <w:jc w:val="left"/>
      </w:pPr>
      <w:r>
        <w:rPr/>
        <w:t xml:space="preserve">(k) Insulin for human use;</w:t>
      </w:r>
    </w:p>
    <w:p>
      <w:pPr>
        <w:spacing w:before="0" w:after="0" w:line="408" w:lineRule="exact"/>
        <w:ind w:left="0" w:right="0" w:firstLine="576"/>
        <w:jc w:val="left"/>
      </w:pPr>
      <w:r>
        <w:rPr/>
        <w:t xml:space="preserve">(l) Kidney dialysis devices; and</w:t>
      </w:r>
    </w:p>
    <w:p>
      <w:pPr>
        <w:spacing w:before="0" w:after="0" w:line="408" w:lineRule="exact"/>
        <w:ind w:left="0" w:right="0" w:firstLine="576"/>
        <w:jc w:val="left"/>
      </w:pPr>
      <w:r>
        <w:rPr/>
        <w:t xml:space="preserve">(m) Disposable devices used to deliver drugs for human use as defined in RCW 82.08.935.</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thirty thousand dollars</w:t>
      </w:r>
      <w:r>
        <w:t>))</w:t>
      </w:r>
      <w:r>
        <w:rPr/>
        <w:t xml:space="preserve"> </w:t>
      </w:r>
      <w:r>
        <w:rPr>
          <w:u w:val="single"/>
        </w:rPr>
        <w:t xml:space="preserve">$30,000</w:t>
      </w:r>
      <w:r>
        <w:rPr/>
        <w:t xml:space="preserve">;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1" for the previous year or </w:t>
      </w:r>
      <w:r>
        <w:t>((</w:t>
      </w:r>
      <w:r>
        <w:rPr>
          <w:strike/>
        </w:rPr>
        <w:t xml:space="preserve">forty-five</w:t>
      </w:r>
      <w:r>
        <w:t>))</w:t>
      </w:r>
      <w:r>
        <w:rPr/>
        <w:t xml:space="preserve"> </w:t>
      </w:r>
      <w:r>
        <w:rPr>
          <w:u w:val="single"/>
        </w:rPr>
        <w:t xml:space="preserve">45</w:t>
      </w:r>
      <w:r>
        <w:rPr/>
        <w:t xml:space="preserve"> percent of the county median household income, adjusted every five years beginning August 1, 2019, as provided in RCW 84.36.385(8).</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thirty-five thousand dollars</w:t>
      </w:r>
      <w:r>
        <w:t>))</w:t>
      </w:r>
      <w:r>
        <w:rPr/>
        <w:t xml:space="preserve"> </w:t>
      </w:r>
      <w:r>
        <w:rPr>
          <w:u w:val="single"/>
        </w:rPr>
        <w:t xml:space="preserve">$35,000</w:t>
      </w:r>
      <w:r>
        <w:rPr/>
        <w:t xml:space="preserve">;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2" for the previous year or </w:t>
      </w:r>
      <w:r>
        <w:t>((</w:t>
      </w:r>
      <w:r>
        <w:rPr>
          <w:strike/>
        </w:rPr>
        <w:t xml:space="preserve">fifty-five</w:t>
      </w:r>
      <w:r>
        <w:t>))</w:t>
      </w:r>
      <w:r>
        <w:rPr/>
        <w:t xml:space="preserve"> </w:t>
      </w:r>
      <w:r>
        <w:rPr>
          <w:u w:val="single"/>
        </w:rPr>
        <w:t xml:space="preserve">55</w:t>
      </w:r>
      <w:r>
        <w:rPr/>
        <w:t xml:space="preserve"> percent of the county median household income, adjusted every five years beginning August 1, 2019, as provided in RCW 84.36.385(8).</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forty thousand dollars</w:t>
      </w:r>
      <w:r>
        <w:t>))</w:t>
      </w:r>
      <w:r>
        <w:rPr/>
        <w:t xml:space="preserve"> </w:t>
      </w:r>
      <w:r>
        <w:rPr>
          <w:u w:val="single"/>
        </w:rPr>
        <w:t xml:space="preserve">$40,000</w:t>
      </w:r>
      <w:r>
        <w:rPr/>
        <w:t xml:space="preserve">;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3" for the previous year or </w:t>
      </w:r>
      <w:r>
        <w:t>((</w:t>
      </w:r>
      <w:r>
        <w:rPr>
          <w:strike/>
        </w:rPr>
        <w:t xml:space="preserve">sixty-five</w:t>
      </w:r>
      <w:r>
        <w:t>))</w:t>
      </w:r>
      <w:r>
        <w:rPr/>
        <w:t xml:space="preserve"> </w:t>
      </w:r>
      <w:r>
        <w:rPr>
          <w:u w:val="single"/>
        </w:rPr>
        <w:t xml:space="preserve">65</w:t>
      </w:r>
      <w:r>
        <w:rPr/>
        <w:t xml:space="preserve"> percent of the county median household income, adjusted every five years beginning August 1, 2019, as provided in RCW 84.36.385(8).</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2024 and thereafter.</w:t>
      </w:r>
    </w:p>
    <w:p/>
    <w:p>
      <w:pPr>
        <w:jc w:val="center"/>
      </w:pPr>
      <w:r>
        <w:rPr>
          <w:b/>
        </w:rPr>
        <w:t>--- END ---</w:t>
      </w:r>
    </w:p>
    <w:sectPr>
      <w:pgNumType w:start="1"/>
      <w:footerReference xmlns:r="http://schemas.openxmlformats.org/officeDocument/2006/relationships" r:id="Rf0c9c7938ef944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899376941749a0" /><Relationship Type="http://schemas.openxmlformats.org/officeDocument/2006/relationships/footer" Target="/word/footer1.xml" Id="Rf0c9c7938ef944d8" /></Relationships>
</file>