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244d407f7e48e3" /></Relationships>
</file>

<file path=word/document.xml><?xml version="1.0" encoding="utf-8"?>
<w:document xmlns:w="http://schemas.openxmlformats.org/wordprocessingml/2006/main">
  <w:body>
    <w:p>
      <w:r>
        <w:t>S-1102.1</w:t>
      </w:r>
    </w:p>
    <w:p>
      <w:pPr>
        <w:jc w:val="center"/>
      </w:pPr>
      <w:r>
        <w:t>_______________________________________________</w:t>
      </w:r>
    </w:p>
    <w:p/>
    <w:p>
      <w:pPr>
        <w:jc w:val="center"/>
      </w:pPr>
      <w:r>
        <w:rPr>
          <w:b/>
        </w:rPr>
        <w:t>SENATE BILL 5674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Frame, Gildon, Cleveland, Fortunato, Keiser, Kuderer, Liias, Lovelett, Mullet, Nguyen, Nobles, Shewmake, Valdez, and C. Wilson</w:t>
      </w:r>
    </w:p>
    <w:p/>
    <w:p>
      <w:r>
        <w:rPr>
          <w:t xml:space="preserve">Read first time 02/02/23.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affordable housing for purposes of using surplus public property for public benefit; and amending RCW 39.33.015.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33</w:t>
      </w:r>
      <w:r>
        <w:rPr/>
        <w:t xml:space="preserve">.</w:t>
      </w:r>
      <w:r>
        <w:t xml:space="preserve">015</w:t>
      </w:r>
      <w:r>
        <w:rPr/>
        <w:t xml:space="preserve"> and 2018 c 217 s 3 are each amended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w:t>
      </w:r>
      <w:r>
        <w:t>((</w:t>
      </w:r>
      <w:r>
        <w:rPr>
          <w:strike/>
        </w:rPr>
        <w:t xml:space="preserve">other disposal</w:t>
      </w:r>
      <w:r>
        <w:t>))</w:t>
      </w:r>
      <w:r>
        <w:rPr/>
        <w:t xml:space="preserve"> </w:t>
      </w:r>
      <w:r>
        <w:rPr>
          <w:u w:val="single"/>
        </w:rPr>
        <w:t xml:space="preserve">otherwise dispose</w:t>
      </w:r>
      <w:r>
        <w:rPr/>
        <w:t xml:space="preserve">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must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June 7, 2018,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w:t>
      </w:r>
      <w:r>
        <w:rPr>
          <w:u w:val="single"/>
        </w:rPr>
        <w:t xml:space="preserve">"Affordable housing" means:</w:t>
      </w:r>
    </w:p>
    <w:p>
      <w:pPr>
        <w:spacing w:before="0" w:after="0" w:line="408" w:lineRule="exact"/>
        <w:ind w:left="0" w:right="0" w:firstLine="576"/>
        <w:jc w:val="left"/>
      </w:pPr>
      <w:r>
        <w:rPr>
          <w:u w:val="single"/>
        </w:rPr>
        <w:t xml:space="preserve">(i) For rental housing, 30 percent of the household's monthly income for rent and utilities, other than telephone; or</w:t>
      </w:r>
    </w:p>
    <w:p>
      <w:pPr>
        <w:spacing w:before="0" w:after="0" w:line="408" w:lineRule="exact"/>
        <w:ind w:left="0" w:right="0" w:firstLine="576"/>
        <w:jc w:val="left"/>
      </w:pPr>
      <w:r>
        <w:rPr>
          <w:u w:val="single"/>
        </w:rPr>
        <w:t xml:space="preserve">(ii) For permanently affordable homeownership, 38 percent of the household's monthly income for mortgage principal, interest, property taxes, homeowner's insurance, homeowner's association fees, and land lease fees, as applicable. In addition, total household debt is no more than 45 percent of the monthly household income;</w:t>
      </w:r>
    </w:p>
    <w:p>
      <w:pPr>
        <w:spacing w:before="0" w:after="0" w:line="408" w:lineRule="exact"/>
        <w:ind w:left="0" w:right="0" w:firstLine="576"/>
        <w:jc w:val="left"/>
      </w:pPr>
      <w:r>
        <w:rPr>
          <w:u w:val="single"/>
        </w:rPr>
        <w:t xml:space="preserve">(b)</w:t>
      </w:r>
      <w:r>
        <w:rPr/>
        <w:t xml:space="preserve"> "Public benefit" means affordable housing</w:t>
      </w:r>
      <w:r>
        <w:rPr>
          <w:u w:val="single"/>
        </w:rPr>
        <w:t xml:space="preserve">, which can be rental housing or permanently affordable homeownership</w:t>
      </w:r>
      <w:r>
        <w:rPr/>
        <w:t xml:space="preserve"> for low-income and very low-income households as defined in RCW 43.63A.510, and related facilities that support the goals of affordable housing development in providing economic and social stability for low-income persons;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"Surplus public property" means excess real property that is not required for the needs of or the discharge of the responsibilities of the state agency, municipality, or political subdivision.</w:t>
      </w:r>
    </w:p>
    <w:p/>
    <w:p>
      <w:pPr>
        <w:jc w:val="center"/>
      </w:pPr>
      <w:r>
        <w:rPr>
          <w:b/>
        </w:rPr>
        <w:t>--- END ---</w:t>
      </w:r>
    </w:p>
    <w:sectPr>
      <w:pgNumType w:start="1"/>
      <w:footerReference xmlns:r="http://schemas.openxmlformats.org/officeDocument/2006/relationships" r:id="Rdcda1d0c9fb44c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00425773e5446b" /><Relationship Type="http://schemas.openxmlformats.org/officeDocument/2006/relationships/footer" Target="/word/footer1.xml" Id="Rdcda1d0c9fb44c15" /></Relationships>
</file>