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35ed77d2546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5670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Hawkins, Randall, Holy, Kuderer, Nguyen, Nobles, Saldaña,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summer running start for rising juniors; amending RCW 28A.600.310 and 28A.600.320;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it is in the best interest of the state to create opportunities to help ease students into running start prior to their 11th grade academic year. Affirming the opportunity for running start during the summer term following the 10th grade academic year will improve access to higher education opportunities and increase the likelihood of postsecondary degree attainment.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2023 c 350 s 2 are each amended to read as follows:</w:t>
      </w:r>
    </w:p>
    <w:p>
      <w:pPr>
        <w:spacing w:before="0" w:after="0" w:line="408" w:lineRule="exact"/>
        <w:ind w:left="0" w:right="0" w:firstLine="576"/>
        <w:jc w:val="left"/>
      </w:pPr>
      <w:r>
        <w:rPr/>
        <w:t xml:space="preserve">(1) Every school district must allow eligible students as described in subsection (2) of this section to participate in the running start program.</w:t>
      </w:r>
    </w:p>
    <w:p>
      <w:pPr>
        <w:spacing w:before="0" w:after="0" w:line="408" w:lineRule="exact"/>
        <w:ind w:left="0" w:right="0" w:firstLine="576"/>
        <w:jc w:val="left"/>
      </w:pPr>
      <w:r>
        <w:rPr/>
        <w:t xml:space="preserve">(2) </w:t>
      </w:r>
      <w:r>
        <w:t>((</w:t>
      </w:r>
      <w:r>
        <w:rPr>
          <w:strike/>
        </w:rPr>
        <w:t xml:space="preserve">Student</w:t>
      </w:r>
      <w:r>
        <w:t>))</w:t>
      </w:r>
      <w:r>
        <w:rPr/>
        <w:t xml:space="preserve"> </w:t>
      </w:r>
      <w:r>
        <w:rPr>
          <w:u w:val="single"/>
        </w:rPr>
        <w:t xml:space="preserve">In addition to the eligibility provided for in subsection (6) of this section, student</w:t>
      </w:r>
      <w:r>
        <w:rPr/>
        <w:t xml:space="preserve"> eligibility for the running start program is as follows: Eleventh and 12th grade students or students who have not yet received the credits required for the award of a high school diploma and are eligible to be in the 11th or 12th grade, including students receiving home-based instruction under chapter 28A.200 RCW and students attending private schools approved under chapter 28A.195 RCW,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(3) Students receiving home-based instruction under chapter 28A.200 RCW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w:t>
      </w:r>
    </w:p>
    <w:p>
      <w:pPr>
        <w:spacing w:before="0" w:after="0" w:line="408" w:lineRule="exact"/>
        <w:ind w:left="0" w:right="0" w:firstLine="576"/>
        <w:jc w:val="left"/>
      </w:pPr>
      <w:r>
        <w:rPr/>
        <w:t xml:space="preserve">(4) Participating institutions of higher education, in consultation with school districts, may establish admission standards for eligible students. If the institution of higher education accepts a secondary school student for enrollment under this section, the institution of higher education shall send written notice to the student and the student's school district within 10 days of acceptance. The notice shall indicate the course and hours of enrollment for that student.</w:t>
      </w:r>
    </w:p>
    <w:p>
      <w:pPr>
        <w:spacing w:before="0" w:after="0" w:line="408" w:lineRule="exact"/>
        <w:ind w:left="0" w:right="0" w:firstLine="576"/>
        <w:jc w:val="left"/>
      </w:pPr>
      <w:r>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(6) </w:t>
      </w:r>
      <w:r>
        <w:rPr>
          <w:u w:val="single"/>
        </w:rPr>
        <w:t xml:space="preserve">Rising 11th grade students, defined as students who have completed their 10th grade year and not yet begun their 11th grade year, may enroll for up to 10 quarter credits, or the semester equivalent, during the summer academic term.</w:t>
      </w:r>
    </w:p>
    <w:p>
      <w:pPr>
        <w:spacing w:before="0" w:after="0" w:line="408" w:lineRule="exact"/>
        <w:ind w:left="0" w:right="0" w:firstLine="576"/>
        <w:jc w:val="left"/>
      </w:pPr>
      <w:r>
        <w:rPr>
          <w:u w:val="single"/>
        </w:rPr>
        <w:t xml:space="preserve">(7)</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10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10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(6)</w:t>
      </w:r>
      <w:r>
        <w:t>))</w:t>
      </w:r>
      <w:r>
        <w:rPr/>
        <w:t xml:space="preserve"> </w:t>
      </w:r>
      <w:r>
        <w:rPr>
          <w:u w:val="single"/>
        </w:rPr>
        <w:t xml:space="preserve">(7)</w:t>
      </w:r>
      <w:r>
        <w:rPr/>
        <w:t xml:space="preserve"> shall be prorated based on credit load.</w:t>
      </w:r>
    </w:p>
    <w:p>
      <w:pPr>
        <w:spacing w:before="0" w:after="0" w:line="408" w:lineRule="exact"/>
        <w:ind w:left="0" w:right="0" w:firstLine="576"/>
        <w:jc w:val="left"/>
      </w:pPr>
      <w:r>
        <w:rPr/>
        <w:t xml:space="preserve">(c) Students may pay fees under this subsection </w:t>
      </w:r>
      <w:r>
        <w:t>((</w:t>
      </w:r>
      <w:r>
        <w:rPr>
          <w:strike/>
        </w:rPr>
        <w:t xml:space="preserve">(6)</w:t>
      </w:r>
      <w:r>
        <w:t>))</w:t>
      </w:r>
      <w:r>
        <w:rPr/>
        <w:t xml:space="preserve"> </w:t>
      </w:r>
      <w:r>
        <w:rPr>
          <w:u w:val="single"/>
        </w:rPr>
        <w:t xml:space="preserve">(7)</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institutions of higher education must make available fee waivers for low-income running start students. A student shall be considered low income and eligible for a fee waiver upon proof that the student meets federal eligibility requirements for free or reduced-price school meals.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student's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w:t>
      </w:r>
      <w:r>
        <w:t>))</w:t>
      </w:r>
      <w:r>
        <w:rPr/>
        <w:t xml:space="preserve"> </w:t>
      </w:r>
      <w:r>
        <w:rPr>
          <w:u w:val="single"/>
        </w:rPr>
        <w:t xml:space="preserve">10</w:t>
      </w:r>
      <w:r>
        <w:rPr/>
        <w:t xml:space="preserve">,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and the parents and guardians of those pupils, including information about the opportunity to enroll in the program through online courses available at community and technical colleges and other state institutions of higher education</w:t>
      </w:r>
      <w:r>
        <w:rPr>
          <w:u w:val="single"/>
        </w:rPr>
        <w:t xml:space="preserve">, enrollment opportunities during the summer academic term,</w:t>
      </w:r>
      <w:r>
        <w:rPr/>
        <w:t xml:space="preserve">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
      <w:pPr>
        <w:jc w:val="center"/>
      </w:pPr>
      <w:r>
        <w:rPr>
          <w:b/>
        </w:rPr>
        <w:t>--- END ---</w:t>
      </w:r>
    </w:p>
    <w:sectPr>
      <w:pgNumType w:start="1"/>
      <w:footerReference xmlns:r="http://schemas.openxmlformats.org/officeDocument/2006/relationships" r:id="R2ca375566c094c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dda43998dd449d" /><Relationship Type="http://schemas.openxmlformats.org/officeDocument/2006/relationships/footer" Target="/word/footer1.xml" Id="R2ca375566c094c03" /></Relationships>
</file>