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c42463ef294ebb" /></Relationships>
</file>

<file path=word/document.xml><?xml version="1.0" encoding="utf-8"?>
<w:document xmlns:w="http://schemas.openxmlformats.org/wordprocessingml/2006/main">
  <w:body>
    <w:p>
      <w:r>
        <w:t>S-3547.1</w:t>
      </w:r>
    </w:p>
    <w:p>
      <w:pPr>
        <w:jc w:val="center"/>
      </w:pPr>
      <w:r>
        <w:t>_______________________________________________</w:t>
      </w:r>
    </w:p>
    <w:p/>
    <w:p>
      <w:pPr>
        <w:jc w:val="center"/>
      </w:pPr>
      <w:r>
        <w:rPr>
          <w:b/>
        </w:rPr>
        <w:t>SUBSTITUTE SENATE BILL 5667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Muzzall, Van De Wege, Short, Wagoner, and Wellman)</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enrollment, and compensation of small forestland owners volunteering for participation in the forestry riparian easement program; and amending RCW 76.13.120 and 76.13.140.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2017 c 140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forestland owners willing to sell or donate easements to the state provided that the state will not be required to acquire the easements if they are subject to unacceptable liabilities. Therefore the legislature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forestland owner.</w:t>
      </w:r>
    </w:p>
    <w:p>
      <w:pPr>
        <w:spacing w:before="0" w:after="0" w:line="408" w:lineRule="exact"/>
        <w:ind w:left="0" w:right="0" w:firstLine="576"/>
        <w:jc w:val="left"/>
      </w:pPr>
      <w:r>
        <w:rPr/>
        <w:t xml:space="preserve">(b) "Qualifying small forestland 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forestland 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w:t>
      </w:r>
      <w:r>
        <w:rPr>
          <w:u w:val="single"/>
        </w:rPr>
        <w:t xml:space="preserve">on land owned by a qualifying small forestland owner</w:t>
      </w:r>
      <w:r>
        <w:rPr/>
        <w:t xml:space="preserve"> for which the small forestland owner is willing to grant the state a forestry riparian easement and meets all of the following:</w:t>
      </w:r>
    </w:p>
    <w:p>
      <w:pPr>
        <w:spacing w:before="0" w:after="0" w:line="408" w:lineRule="exact"/>
        <w:ind w:left="0" w:right="0" w:firstLine="576"/>
        <w:jc w:val="left"/>
      </w:pPr>
      <w:r>
        <w:rPr/>
        <w:t xml:space="preserve">(i) The forest trees are covered by a forest practices application that the small forestland owner is required to leave unharvested under the rules adopted under RCW 76.09.040, 76.09.055,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forestland owner" means a landowner meeting all of the following characteristics:</w:t>
      </w:r>
    </w:p>
    <w:p>
      <w:pPr>
        <w:spacing w:before="0" w:after="0" w:line="408" w:lineRule="exact"/>
        <w:ind w:left="0" w:right="0" w:firstLine="576"/>
        <w:jc w:val="left"/>
      </w:pPr>
      <w:r>
        <w:rPr/>
        <w:t xml:space="preserve">(i) A forestland owner as defined in RCW 76.09.020 whose interest in the land and timber is in fee or who has rights to the timber to be included in the forestry riparian easement that extend at least </w:t>
      </w:r>
      <w:r>
        <w:t>((</w:t>
      </w:r>
      <w:r>
        <w:rPr>
          <w:strike/>
        </w:rPr>
        <w:t xml:space="preserve">fifty</w:t>
      </w:r>
      <w:r>
        <w:t>))</w:t>
      </w:r>
      <w:r>
        <w:rPr/>
        <w:t xml:space="preserve"> </w:t>
      </w:r>
      <w:r>
        <w:rPr>
          <w:u w:val="single"/>
        </w:rPr>
        <w:t xml:space="preserve">40</w:t>
      </w:r>
      <w:r>
        <w:rPr/>
        <w:t xml:space="preserve">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w:t>
      </w:r>
      <w:r>
        <w:t>((</w:t>
      </w:r>
      <w:r>
        <w:rPr>
          <w:strike/>
        </w:rPr>
        <w:t xml:space="preserve">ten</w:t>
      </w:r>
      <w:r>
        <w:t>))</w:t>
      </w:r>
      <w:r>
        <w:rPr/>
        <w:t xml:space="preserve"> </w:t>
      </w:r>
      <w:r>
        <w:rPr>
          <w:u w:val="single"/>
        </w:rPr>
        <w:t xml:space="preserve">10</w:t>
      </w:r>
      <w:r>
        <w:rPr/>
        <w:t xml:space="preserve"> years following application. If a landowner's prior three-year average harvest exceeds the limit of RCW 84.33.035, or the landowner expects to exceed this limit during the </w:t>
      </w:r>
      <w:r>
        <w:t>((</w:t>
      </w:r>
      <w:r>
        <w:rPr>
          <w:strike/>
        </w:rPr>
        <w:t xml:space="preserve">ten</w:t>
      </w:r>
      <w:r>
        <w:t>))</w:t>
      </w:r>
      <w:r>
        <w:rPr/>
        <w:t xml:space="preserve"> </w:t>
      </w:r>
      <w:r>
        <w:rPr>
          <w:u w:val="single"/>
        </w:rPr>
        <w:t xml:space="preserve">10</w:t>
      </w:r>
      <w:r>
        <w:rPr/>
        <w:t xml:space="preserve">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forestland owner. For purposes of determining whether a person qualifies as a small forestland owner, the small forestland owner office, created in RCW 76.13.110, shall evaluate the landowner under this definition, pursuant to RCW 76.13.160, as of the date that the forest practices application is submitted and the date that the department offers compensation for the forestry riparian easement. A small forestland owner can include an individual, partnership, corporation, or other nongovernmental legal entity. If a landowner grants timber rights to another entity for less than five years, the landowner may still qualify as a small forestland owner under this section. If a landowner is unable to obtain an approved forest practices application for timber harvest for any of his or her land because of restrictions under the forest practices rules, the landowner may still qualify as a small forestland owner under this section.</w:t>
      </w:r>
    </w:p>
    <w:p>
      <w:pPr>
        <w:spacing w:before="0" w:after="0" w:line="408" w:lineRule="exact"/>
        <w:ind w:left="0" w:right="0" w:firstLine="576"/>
        <w:jc w:val="left"/>
      </w:pPr>
      <w:r>
        <w:rPr/>
        <w:t xml:space="preserve">(e) "Completion of harvest" means that the trees have been </w:t>
      </w:r>
      <w:r>
        <w:rPr>
          <w:u w:val="single"/>
        </w:rPr>
        <w:t xml:space="preserve">commercially</w:t>
      </w:r>
      <w:r>
        <w:rPr/>
        <w:t xml:space="preserve"> harvested from an area and that further entry into that area by mechanized logging or slash treating equipment is not expected.</w:t>
      </w:r>
    </w:p>
    <w:p>
      <w:pPr>
        <w:spacing w:before="0" w:after="0" w:line="408" w:lineRule="exact"/>
        <w:ind w:left="0" w:right="0" w:firstLine="576"/>
        <w:jc w:val="left"/>
      </w:pPr>
      <w:r>
        <w:rPr/>
        <w:t xml:space="preserve">(3) </w:t>
      </w:r>
      <w:r>
        <w:rPr>
          <w:u w:val="single"/>
        </w:rPr>
        <w:t xml:space="preserve">Nothing in the eligibility limit identified in subsection (2)(c)(i) through (iii) of this section precludes inclusion of land in future mitigation programs.</w:t>
      </w:r>
    </w:p>
    <w:p>
      <w:pPr>
        <w:spacing w:before="0" w:after="0" w:line="408" w:lineRule="exact"/>
        <w:ind w:left="0" w:right="0" w:firstLine="576"/>
        <w:jc w:val="left"/>
      </w:pPr>
      <w:r>
        <w:rPr>
          <w:u w:val="single"/>
        </w:rPr>
        <w:t xml:space="preserve">(4)</w:t>
      </w:r>
      <w:r>
        <w:rPr/>
        <w:t xml:space="preserve"> The department is authorized and directed to accept and hold in the name of the state of Washington forestry riparian easements granted by qualifying small forestland owners covering qualifying timber and to pay compensation to the landowners in accordance with this section. The department may not transfer the easements to any entity other than another state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Forestry riparian easements shall be effective for </w:t>
      </w:r>
      <w:r>
        <w:t>((</w:t>
      </w:r>
      <w:r>
        <w:rPr>
          <w:strike/>
        </w:rPr>
        <w:t xml:space="preserve">fifty</w:t>
      </w:r>
      <w:r>
        <w:t>))</w:t>
      </w:r>
      <w:r>
        <w:rPr/>
        <w:t xml:space="preserve"> </w:t>
      </w:r>
      <w:r>
        <w:rPr>
          <w:u w:val="single"/>
        </w:rPr>
        <w:t xml:space="preserve">40</w:t>
      </w:r>
      <w:r>
        <w:rPr/>
        <w:t xml:space="preserve">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Forestry riparian easements shall be restrictive </w:t>
      </w:r>
      <w:r>
        <w:rPr>
          <w:u w:val="single"/>
        </w:rPr>
        <w:t xml:space="preserve">of the timber</w:t>
      </w:r>
      <w:r>
        <w:rPr/>
        <w:t xml:space="preser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small forestland owner office shall determine what constitutes a completed application for a forestry riparian easement. An application shall, at a minimum, include documentation of the owner's status as a qualifying small forestland owner, identification of location and the types of qualifying timber, and notification of completion of harvest, if applicable.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receipt of the qualifying small forestland 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forestland owner office must determine the compensation to be offered to the qualifying small forestland 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forestland owner office, subject to the availability of amounts appropriated for this specific purpose, is responsible for assessing the volume of qualifying timber. However, no more than </w:t>
      </w:r>
      <w:r>
        <w:t>((</w:t>
      </w:r>
      <w:r>
        <w:rPr>
          <w:strike/>
        </w:rPr>
        <w:t xml:space="preserve">fifty</w:t>
      </w:r>
      <w:r>
        <w:t>))</w:t>
      </w:r>
      <w:r>
        <w:rPr/>
        <w:t xml:space="preserve"> </w:t>
      </w:r>
      <w:r>
        <w:rPr>
          <w:u w:val="single"/>
        </w:rPr>
        <w:t xml:space="preserve">50</w:t>
      </w:r>
      <w:r>
        <w:rPr/>
        <w:t xml:space="preserve"> percent of the total amounts appropriated for the forestry riparian easement program may be applied to determine the volume of qualifying timber for completed forestry riparian easement applications. Based on the volume established by the small forestland owner office and using data obtained or maintained by the department of revenue under RCW 84.33.074 and 84.33.091, the small forestland owner office shall attempt to determine the fair market value of the qualifying timber as of the date </w:t>
      </w:r>
      <w:r>
        <w:rPr>
          <w:u w:val="single"/>
        </w:rPr>
        <w:t xml:space="preserve">of</w:t>
      </w:r>
      <w:r>
        <w:rPr/>
        <w:t xml:space="preserve"> the </w:t>
      </w:r>
      <w:r>
        <w:t>((</w:t>
      </w:r>
      <w:r>
        <w:rPr>
          <w:strike/>
        </w:rPr>
        <w:t xml:space="preserve">complete forestry riparian easement application is</w:t>
      </w:r>
      <w:r>
        <w:t>))</w:t>
      </w:r>
      <w:r>
        <w:rPr>
          <w:u w:val="single"/>
        </w:rPr>
        <w:t xml:space="preserve"> completed harvest. To the extent reasonably possible, the forestry riparian easement applications should be processed in the order</w:t>
      </w:r>
      <w:r>
        <w:rPr/>
        <w:t xml:space="preserve">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w:t>
      </w:r>
      <w:r>
        <w:t>((</w:t>
      </w:r>
      <w:r>
        <w:rPr>
          <w:strike/>
        </w:rPr>
        <w:t xml:space="preserve">Except as provided in subsection (9) of this section and subject</w:t>
      </w:r>
      <w:r>
        <w:t>))</w:t>
      </w:r>
      <w:r>
        <w:rPr/>
        <w:t xml:space="preserve"> </w:t>
      </w:r>
      <w:r>
        <w:rPr>
          <w:u w:val="single"/>
        </w:rPr>
        <w:t xml:space="preserve">Subject</w:t>
      </w:r>
      <w:r>
        <w:rPr/>
        <w:t xml:space="preserve"> to the availability of amounts appropriated for this specific purpose, the small forestland owner office shall offer compensation for qualifying timber to the qualifying small forestland owner in the amount of </w:t>
      </w:r>
      <w:r>
        <w:t>((</w:t>
      </w:r>
      <w:r>
        <w:rPr>
          <w:strike/>
        </w:rPr>
        <w:t xml:space="preserve">fifty</w:t>
      </w:r>
      <w:r>
        <w:t>))</w:t>
      </w:r>
      <w:r>
        <w:rPr/>
        <w:t xml:space="preserve"> </w:t>
      </w:r>
      <w:r>
        <w:rPr>
          <w:u w:val="single"/>
        </w:rPr>
        <w:t xml:space="preserve">90</w:t>
      </w:r>
      <w:r>
        <w:rPr/>
        <w:t xml:space="preserve"> percent of the value determined by the small forestland owner office, plus the compliance and reimbursement costs as determined in accordance with RCW 76.13.140. However, compensation for any qualifying small forestland owner for qualifying timber located on potentially unstable slopes or landforms may not exceed a total of </w:t>
      </w:r>
      <w:r>
        <w:t>((</w:t>
      </w:r>
      <w:r>
        <w:rPr>
          <w:strike/>
        </w:rPr>
        <w:t xml:space="preserve">fifty thousand dollars</w:t>
      </w:r>
      <w:r>
        <w:t>))</w:t>
      </w:r>
      <w:r>
        <w:rPr/>
        <w:t xml:space="preserve"> </w:t>
      </w:r>
      <w:r>
        <w:rPr>
          <w:u w:val="single"/>
        </w:rPr>
        <w:t xml:space="preserve">$150,000</w:t>
      </w:r>
      <w:r>
        <w:rPr/>
        <w:t xml:space="preserve">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t>((</w:t>
      </w:r>
      <w:r>
        <w:rPr>
          <w:strike/>
        </w:rPr>
        <w:t xml:space="preserve">(9) For approved forest practices applications for which the regulatory impact is greater than the average percentage impact for all small forestland 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forestland owner office.</w:t>
      </w:r>
      <w:r>
        <w:t>))</w:t>
      </w:r>
    </w:p>
    <w:p>
      <w:pPr>
        <w:spacing w:before="0" w:after="0" w:line="408" w:lineRule="exact"/>
        <w:ind w:left="0" w:right="0" w:firstLine="576"/>
        <w:jc w:val="left"/>
      </w:pPr>
      <w:r>
        <w:rPr/>
        <w:t xml:space="preserve">(10)</w:t>
      </w:r>
      <w:r>
        <w:rPr>
          <w:u w:val="single"/>
        </w:rPr>
        <w:t xml:space="preserve">(a)</w:t>
      </w:r>
      <w:r>
        <w:rPr/>
        <w:t xml:space="preserve">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Standards for descriptions of the easement premises with a degree of precision that is reasonable in relation to the values involved;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w:t>
      </w:r>
      <w:r>
        <w:t>((</w:t>
      </w:r>
      <w:r>
        <w:rPr>
          <w:strike/>
        </w:rPr>
        <w:t xml:space="preserve">fifty</w:t>
      </w:r>
      <w:r>
        <w:t>))</w:t>
      </w:r>
      <w:r>
        <w:rPr/>
        <w:t xml:space="preserve"> </w:t>
      </w:r>
      <w:r>
        <w:rPr>
          <w:u w:val="single"/>
        </w:rPr>
        <w:t xml:space="preserve">50</w:t>
      </w:r>
      <w:r>
        <w:rPr/>
        <w:t xml:space="preserve">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forestland owners, and the small forestland owner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method to address blowdown of qualified timber falling outside the easement premises;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t>((</w:t>
      </w:r>
      <w:r>
        <w:rPr>
          <w:strike/>
        </w:rPr>
        <w:t xml:space="preserve">(g) High impact regulatory thresholds;</w:t>
      </w:r>
    </w:p>
    <w:p>
      <w:pPr>
        <w:spacing w:before="0" w:after="0" w:line="408" w:lineRule="exact"/>
        <w:ind w:left="0" w:right="0" w:firstLine="576"/>
        <w:jc w:val="left"/>
      </w:pPr>
      <w:r>
        <w:rPr>
          <w:strike/>
        </w:rPr>
        <w:t xml:space="preserve">(h)</w:t>
      </w:r>
      <w:r>
        <w:t>))</w:t>
      </w:r>
      <w:r>
        <w:rPr/>
        <w:t xml:space="preserve"> </w:t>
      </w:r>
      <w:r>
        <w:rPr>
          <w:u w:val="single"/>
        </w:rPr>
        <w:t xml:space="preserve">(vii)</w:t>
      </w:r>
      <w:r>
        <w:rPr/>
        <w:t xml:space="preserve"> A method to determine timber that is qualifying timber because it is rendered uneconomic to harvest by the rules adopted under RCW 76.09.055 and 76.09.370;</w:t>
      </w:r>
    </w:p>
    <w:p>
      <w:pPr>
        <w:spacing w:before="0" w:after="0" w:line="408" w:lineRule="exact"/>
        <w:ind w:left="0" w:right="0" w:firstLine="576"/>
        <w:jc w:val="left"/>
      </w:pPr>
      <w:r>
        <w:t>((</w:t>
      </w:r>
      <w:r>
        <w:rPr>
          <w:strike/>
        </w:rPr>
        <w:t xml:space="preserve">(i)</w:t>
      </w:r>
      <w:r>
        <w:t>))</w:t>
      </w:r>
      <w:r>
        <w:rPr/>
        <w:t xml:space="preserve"> </w:t>
      </w:r>
      <w:r>
        <w:rPr>
          <w:u w:val="single"/>
        </w:rPr>
        <w:t xml:space="preserve">(viii)</w:t>
      </w:r>
      <w:r>
        <w:rPr/>
        <w:t xml:space="preserve"> A method for internal department review of small forestland owner office compensation decisions under this section; and</w:t>
      </w:r>
    </w:p>
    <w:p>
      <w:pPr>
        <w:spacing w:before="0" w:after="0" w:line="408" w:lineRule="exact"/>
        <w:ind w:left="0" w:right="0" w:firstLine="576"/>
        <w:jc w:val="left"/>
      </w:pPr>
      <w:r>
        <w:t>((</w:t>
      </w:r>
      <w:r>
        <w:rPr>
          <w:strike/>
        </w:rPr>
        <w:t xml:space="preserve">(j)</w:t>
      </w:r>
      <w:r>
        <w:t>))</w:t>
      </w:r>
      <w:r>
        <w:rPr/>
        <w:t xml:space="preserve"> </w:t>
      </w:r>
      <w:r>
        <w:rPr>
          <w:u w:val="single"/>
        </w:rPr>
        <w:t xml:space="preserve">(ix)</w:t>
      </w:r>
      <w:r>
        <w:rPr/>
        <w:t xml:space="preserve"> Consistent with RCW 76.13.180, a method to collect reimbursement from landowners who received compensation for a forestry riparian easement and who, within the first </w:t>
      </w:r>
      <w:r>
        <w:t>((</w:t>
      </w:r>
      <w:r>
        <w:rPr>
          <w:strike/>
        </w:rPr>
        <w:t xml:space="preserve">ten</w:t>
      </w:r>
      <w:r>
        <w:t>))</w:t>
      </w:r>
      <w:r>
        <w:rPr/>
        <w:t xml:space="preserve"> </w:t>
      </w:r>
      <w:r>
        <w:rPr>
          <w:u w:val="single"/>
        </w:rPr>
        <w:t xml:space="preserve">10</w:t>
      </w:r>
      <w:r>
        <w:rPr/>
        <w:t xml:space="preserve">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(b) At least semiannually, the department shall consult with the small forestland owner advisory committee established in RCW 76.13.110(4) to review landowner complaints, administrative processes, rule recommendations, and related issues where the department is actively seeking the small forestland owner advisory committee's advice on potential improved efficiencies and effectiveness.</w:t>
      </w:r>
    </w:p>
    <w:p>
      <w:pPr>
        <w:spacing w:before="0" w:after="0" w:line="408" w:lineRule="exact"/>
        <w:ind w:left="0" w:right="0" w:firstLine="576"/>
        <w:jc w:val="left"/>
      </w:pPr>
      <w:r>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w:t>
      </w:r>
      <w:r>
        <w:t>((</w:t>
      </w:r>
      <w:r>
        <w:rPr>
          <w:strike/>
        </w:rPr>
        <w:t xml:space="preserve">forest [forestry]</w:t>
      </w:r>
      <w:r>
        <w:t>))</w:t>
      </w:r>
      <w:r>
        <w:rPr/>
        <w:t xml:space="preserve"> </w:t>
      </w:r>
      <w:r>
        <w:rPr>
          <w:u w:val="single"/>
        </w:rPr>
        <w:t xml:space="preserve">forestry</w:t>
      </w:r>
      <w:r>
        <w:rPr/>
        <w:t xml:space="preserve"> riparian easement program may be part of the state's overall carbon sequestration strategy. If the state creates a climate strategy, the department must share information regarding the carbon sequestration benefits of the </w:t>
      </w:r>
      <w:r>
        <w:t>((</w:t>
      </w:r>
      <w:r>
        <w:rPr>
          <w:strike/>
        </w:rPr>
        <w:t xml:space="preserve">forest [forestry]</w:t>
      </w:r>
      <w:r>
        <w:t>))</w:t>
      </w:r>
      <w:r>
        <w:rPr/>
        <w:t xml:space="preserve"> </w:t>
      </w:r>
      <w:r>
        <w:rPr>
          <w:u w:val="single"/>
        </w:rPr>
        <w:t xml:space="preserve">forestry</w:t>
      </w:r>
      <w:r>
        <w:rPr/>
        <w:t xml:space="preserve"> riparian easement program with other state programs using methods and protocols established in the state climate strategy that attempt to quantify carbon storage or account for carbon emissions. The department must promote the expansion of funding for the </w:t>
      </w:r>
      <w:r>
        <w:t>((</w:t>
      </w:r>
      <w:r>
        <w:rPr>
          <w:strike/>
        </w:rPr>
        <w:t xml:space="preserve">forest [forestry]</w:t>
      </w:r>
      <w:r>
        <w:t>))</w:t>
      </w:r>
      <w:r>
        <w:rPr/>
        <w:t xml:space="preserve"> </w:t>
      </w:r>
      <w:r>
        <w:rPr>
          <w:u w:val="single"/>
        </w:rPr>
        <w:t xml:space="preserve">forestry</w:t>
      </w:r>
      <w:r>
        <w:rPr/>
        <w:t xml:space="preserve"> riparian easement program and the ecosystem services supported by the program based on the findings stated in RCW 76.13.100. Nothing in this subsection allows a landowner to be reimbursed by the state more than once for the same forest riparian easement application.</w:t>
      </w:r>
    </w:p>
    <w:p>
      <w:pPr>
        <w:spacing w:before="0" w:after="0" w:line="408" w:lineRule="exact"/>
        <w:ind w:left="0" w:right="0" w:firstLine="576"/>
        <w:jc w:val="left"/>
      </w:pPr>
      <w:r>
        <w:rPr>
          <w:u w:val="single"/>
        </w:rPr>
        <w:t xml:space="preserve">(12) It is the intent of the legislature that the small forestland owner office complete forestry riparian easement program application transactions within two years of the application receipt consistent with the goals of RCW 70A.65.270(2)(b)(iii).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140</w:t>
      </w:r>
      <w:r>
        <w:rPr/>
        <w:t xml:space="preserve"> and 2011 c 218 s 2 are each amended to read as follows:</w:t>
      </w:r>
    </w:p>
    <w:p>
      <w:pPr>
        <w:spacing w:before="0" w:after="0" w:line="408" w:lineRule="exact"/>
        <w:ind w:left="0" w:right="0" w:firstLine="576"/>
        <w:jc w:val="left"/>
      </w:pPr>
      <w:r>
        <w:rPr/>
        <w:t xml:space="preserve">In order to assist small forestland owners to remain economically viable, the legislature intends that the qualifying small forestland owners be able to net </w:t>
      </w:r>
      <w:r>
        <w:t>((</w:t>
      </w:r>
      <w:r>
        <w:rPr>
          <w:strike/>
        </w:rPr>
        <w:t xml:space="preserve">fifty</w:t>
      </w:r>
      <w:r>
        <w:t>))</w:t>
      </w:r>
      <w:r>
        <w:rPr/>
        <w:t xml:space="preserve"> </w:t>
      </w:r>
      <w:r>
        <w:rPr>
          <w:u w:val="single"/>
        </w:rPr>
        <w:t xml:space="preserve">90</w:t>
      </w:r>
      <w:r>
        <w:rPr/>
        <w:t xml:space="preserve"> percent of the value of the trees left in the buffer areas. </w:t>
      </w:r>
      <w:r>
        <w:rPr>
          <w:u w:val="single"/>
        </w:rPr>
        <w:t xml:space="preserve">The small forestland owner office may utilize landowners' actual mill receipts to help determine fair market value but may not require these documents in any valuation process.</w:t>
      </w:r>
      <w:r>
        <w:rPr/>
        <w:t xml:space="preserve"> The amount of compensation offered in RCW 76.13.120 shall also include the compliance costs for participation in the forestry riparian easement program, including the cost of preparing and recording the forestry riparian easement, and any business and occupation tax and real estate excise tax imposed because of entering into the forestry riparian easement. The small forestland owner office may contract with private consultants that the office finds qualified to perform timber cruises of forestry riparian easements or to lay out streamside buffers and comply with other forest practices regulatory requirements related to the forestry riparian easement program. The department shall reimburse qualifying small forestland owners for the actual costs incurred for laying out the streamside buffers and marking the qualifying timber once a contract has been executed for the forestry riparian easement program. Reimbursement is subject to the work being acceptable to the department. The small forestland owner office shall determine how the reimbursement costs will be calculated.</w:t>
      </w:r>
    </w:p>
    <w:p/>
    <w:p>
      <w:pPr>
        <w:jc w:val="center"/>
      </w:pPr>
      <w:r>
        <w:rPr>
          <w:b/>
        </w:rPr>
        <w:t>--- END ---</w:t>
      </w:r>
    </w:p>
    <w:sectPr>
      <w:pgNumType w:start="1"/>
      <w:footerReference xmlns:r="http://schemas.openxmlformats.org/officeDocument/2006/relationships" r:id="R68b3a64b148642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439b5b00614599" /><Relationship Type="http://schemas.openxmlformats.org/officeDocument/2006/relationships/footer" Target="/word/footer1.xml" Id="R68b3a64b1486426c" /></Relationships>
</file>