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0e67f5f9b46e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5580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Muzzall, Cleveland, Braun, Rivers, Warnick, Hasegawa, Kuderer, Lovelett, Randall, Shewmake, and J.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amending RCW 74.09.830; and adding new sections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2025,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up to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authority shall update the maternity support services program to address perinatal outcomes and increase equity and healthier birth outcomes. By January 1, 2025,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the allowable benefit and reimbursement rates with the goal of increasing utilization of services to all eligible maternity support services clients who choose to receive the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November 1, 2024, 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w:t>
      </w:r>
      <w:r>
        <w:rPr>
          <w:u w:val="single"/>
        </w:rPr>
        <w:t xml:space="preserve">By November 1, 2024, the income standards for a postpartum person eligible for Washington apple health pregnancy or postpartum coverage shall have countable income equal to or below 210 percent of the federal poverty level.</w:t>
      </w:r>
    </w:p>
    <w:p>
      <w:pPr>
        <w:spacing w:before="0" w:after="0" w:line="408" w:lineRule="exact"/>
        <w:ind w:left="0" w:right="0" w:firstLine="576"/>
        <w:jc w:val="left"/>
      </w:pPr>
      <w:r>
        <w:rPr>
          <w:u w:val="single"/>
        </w:rPr>
        <w:t xml:space="preserve">(4)</w:t>
      </w:r>
      <w:r>
        <w:rPr/>
        <w:t xml:space="preserve"> Health care coverage under this section must be provided during the 12-month period beginning on the last day of the pregnancy.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
      <w:pPr>
        <w:jc w:val="center"/>
      </w:pPr>
      <w:r>
        <w:rPr>
          <w:b/>
        </w:rPr>
        <w:t>--- END ---</w:t>
      </w:r>
    </w:p>
    <w:sectPr>
      <w:pgNumType w:start="1"/>
      <w:footerReference xmlns:r="http://schemas.openxmlformats.org/officeDocument/2006/relationships" r:id="R5740c20393ca42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dc39d78fe842a4" /><Relationship Type="http://schemas.openxmlformats.org/officeDocument/2006/relationships/footer" Target="/word/footer1.xml" Id="R5740c20393ca4235" /></Relationships>
</file>