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541f4c55cf4d69" /></Relationships>
</file>

<file path=word/document.xml><?xml version="1.0" encoding="utf-8"?>
<w:document xmlns:w="http://schemas.openxmlformats.org/wordprocessingml/2006/main">
  <w:body>
    <w:p>
      <w:r>
        <w:t>S-1344.3</w:t>
      </w:r>
    </w:p>
    <w:p>
      <w:pPr>
        <w:jc w:val="center"/>
      </w:pPr>
      <w:r>
        <w:t>_______________________________________________</w:t>
      </w:r>
    </w:p>
    <w:p/>
    <w:p>
      <w:pPr>
        <w:jc w:val="center"/>
      </w:pPr>
      <w:r>
        <w:rPr>
          <w:b/>
        </w:rPr>
        <w:t>SUBSTITUTE SENATE BILL 5536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Law &amp; Justice (originally sponsored by Senators Robinson, Lovick, Rolfes, Mullet, Dhingra, Billig, Hasegawa, Keiser, Kuderer, Liias, Lovelett, Nobles, Randall, Stanford, Wellman, and C. Wilson)</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justice system and behavioral health responses for persons experiencing circumstances that involve controlled substances, counterfeit substances, legend drugs, and drug paraphernalia; amending RCW 69.50.4011, 69.50.4013, 69.50.4014, 69.41.030, 69.50.509, 69.50.4121, 9.96.060, 36.70A.200, 71.24.590, and 84.36.043; amending 2021 c 311 s 29 (uncodified); adding new sections to chapter 69.50 RCW; adding a new section to chapter 43.330 RCW; adding a new section to chapter 26.12 RCW; adding new sections to chapter 71.24 RCW; adding new sections to chapter 43.216 RCW; creating new sections; repealing RCW 10.31.115; prescribing penalties; and making appropriations.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substance use disorders are a public health issue. Solutions must address not only the criminal legal response, but be data-driven, evidence-based, and represent best practices, working directly with people who use drugs to prevent overdose and infectious disease transmission, and improve the physical, mental, and social well-being of those served. The state must follow principles of harm reduction, which means practical strategies aimed at reducing negative consequences associated with drug use. Harm reduction involves safer use of supplies as well as care settings, staffing, and interactions that are person-centered, supportive, and welcoming.</w:t>
      </w:r>
    </w:p>
    <w:p>
      <w:pPr>
        <w:spacing w:before="0" w:after="0" w:line="408" w:lineRule="exact"/>
        <w:ind w:left="0" w:right="0" w:firstLine="576"/>
        <w:jc w:val="left"/>
      </w:pPr>
      <w:r>
        <w:rPr/>
        <w:t xml:space="preserve">The legislature finds that the recommendations of the substance use recovery services advisory committee reflect hours of diligent work by individuals with a range of professional and personal experience, who brought that experience to the committee, and whose expertise is reflected in the recommendations.</w:t>
      </w:r>
    </w:p>
    <w:p>
      <w:pPr>
        <w:spacing w:before="240" w:after="0" w:line="408" w:lineRule="exact"/>
        <w:ind w:left="0" w:right="0" w:firstLine="576"/>
        <w:jc w:val="center"/>
      </w:pPr>
      <w:r>
        <w:rPr>
          <w:b/>
        </w:rPr>
        <w:t xml:space="preserve">Part I – Prohibiting Knowing Possession of a Controlled Substance, Counterfeit Substance, or Legend Drug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4011</w:t>
      </w:r>
      <w:r>
        <w:rPr/>
        <w:t xml:space="preserve"> and 2003 c 53 s 332 are each amended to read as follows:</w:t>
      </w:r>
    </w:p>
    <w:p>
      <w:pPr>
        <w:spacing w:before="0" w:after="0" w:line="408" w:lineRule="exact"/>
        <w:ind w:left="0" w:right="0" w:firstLine="576"/>
        <w:jc w:val="left"/>
      </w:pPr>
      <w:r>
        <w:rPr/>
        <w:t xml:space="preserve">(1) Except as authorized by this chapter, it is unlawful for any person to </w:t>
      </w:r>
      <w:r>
        <w:t>((</w:t>
      </w:r>
      <w:r>
        <w:rPr>
          <w:strike/>
        </w:rPr>
        <w:t xml:space="preserve">create, deliver, or possess a counterfeit substance</w:t>
      </w:r>
      <w:r>
        <w:t>))</w:t>
      </w:r>
      <w:r>
        <w:rPr>
          <w:u w:val="single"/>
        </w:rPr>
        <w:t xml:space="preserve">:</w:t>
      </w:r>
    </w:p>
    <w:p>
      <w:pPr>
        <w:spacing w:before="0" w:after="0" w:line="408" w:lineRule="exact"/>
        <w:ind w:left="0" w:right="0" w:firstLine="576"/>
        <w:jc w:val="left"/>
      </w:pPr>
      <w:r>
        <w:rPr>
          <w:u w:val="single"/>
        </w:rPr>
        <w:t xml:space="preserve">(a) Create or deliver a counterfeit substance; or</w:t>
      </w:r>
    </w:p>
    <w:p>
      <w:pPr>
        <w:spacing w:before="0" w:after="0" w:line="408" w:lineRule="exact"/>
        <w:ind w:left="0" w:right="0" w:firstLine="576"/>
        <w:jc w:val="left"/>
      </w:pPr>
      <w:r>
        <w:rPr>
          <w:u w:val="single"/>
        </w:rPr>
        <w:t xml:space="preserve">(b) Knowingly possess a counterfeit substance</w:t>
      </w:r>
      <w:r>
        <w:rPr/>
        <w:t xml:space="preserve">.</w:t>
      </w:r>
    </w:p>
    <w:p>
      <w:pPr>
        <w:spacing w:before="0" w:after="0" w:line="408" w:lineRule="exact"/>
        <w:ind w:left="0" w:right="0" w:firstLine="576"/>
        <w:jc w:val="left"/>
      </w:pPr>
      <w:r>
        <w:rPr/>
        <w:t xml:space="preserve">(2) Any person who violates </w:t>
      </w:r>
      <w:r>
        <w:rPr>
          <w:u w:val="single"/>
        </w:rPr>
        <w:t xml:space="preserve">subsection (1)(a) of</w:t>
      </w:r>
      <w:r>
        <w:rPr/>
        <w:t xml:space="preserve"> this section with respect to:</w:t>
      </w:r>
    </w:p>
    <w:p>
      <w:pPr>
        <w:spacing w:before="0" w:after="0" w:line="408" w:lineRule="exact"/>
        <w:ind w:left="0" w:right="0" w:firstLine="576"/>
        <w:jc w:val="left"/>
      </w:pPr>
      <w:r>
        <w:rPr/>
        <w:t xml:space="preserve">(a) A counterfeit substance classified in Schedule I or II which is a narcotic drug, or flunitrazepam classified in Schedule IV, is guilty of a class B felony and upon conviction may be imprisoned for not more than </w:t>
      </w:r>
      <w:r>
        <w:t>((</w:t>
      </w:r>
      <w:r>
        <w:rPr>
          <w:strike/>
        </w:rPr>
        <w:t xml:space="preserve">ten</w:t>
      </w:r>
      <w:r>
        <w:t>))</w:t>
      </w:r>
      <w:r>
        <w:rPr/>
        <w:t xml:space="preserve"> </w:t>
      </w:r>
      <w:r>
        <w:rPr>
          <w:u w:val="single"/>
        </w:rPr>
        <w:t xml:space="preserve">10</w:t>
      </w:r>
      <w:r>
        <w:rPr/>
        <w:t xml:space="preserve"> years, fined not more than </w:t>
      </w:r>
      <w:r>
        <w:t>((</w:t>
      </w:r>
      <w:r>
        <w:rPr>
          <w:strike/>
        </w:rPr>
        <w:t xml:space="preserve">twenty-five thousand dollars</w:t>
      </w:r>
      <w:r>
        <w:t>))</w:t>
      </w:r>
      <w:r>
        <w:rPr/>
        <w:t xml:space="preserve"> </w:t>
      </w:r>
      <w:r>
        <w:rPr>
          <w:u w:val="single"/>
        </w:rPr>
        <w:t xml:space="preserve">$25,000</w:t>
      </w:r>
      <w:r>
        <w:rPr/>
        <w:t xml:space="preserve">, or both;</w:t>
      </w:r>
    </w:p>
    <w:p>
      <w:pPr>
        <w:spacing w:before="0" w:after="0" w:line="408" w:lineRule="exact"/>
        <w:ind w:left="0" w:right="0" w:firstLine="576"/>
        <w:jc w:val="left"/>
      </w:pPr>
      <w:r>
        <w:rPr/>
        <w:t xml:space="preserve">(b) A counterfeit substance which is methamphetamine, is guilty of a class B felony and upon conviction may be imprisoned for not more than </w:t>
      </w:r>
      <w:r>
        <w:t>((</w:t>
      </w:r>
      <w:r>
        <w:rPr>
          <w:strike/>
        </w:rPr>
        <w:t xml:space="preserve">ten</w:t>
      </w:r>
      <w:r>
        <w:t>))</w:t>
      </w:r>
      <w:r>
        <w:rPr/>
        <w:t xml:space="preserve"> </w:t>
      </w:r>
      <w:r>
        <w:rPr>
          <w:u w:val="single"/>
        </w:rPr>
        <w:t xml:space="preserve">10</w:t>
      </w:r>
      <w:r>
        <w:rPr/>
        <w:t xml:space="preserve"> years, fined not more than </w:t>
      </w:r>
      <w:r>
        <w:t>((</w:t>
      </w:r>
      <w:r>
        <w:rPr>
          <w:strike/>
        </w:rPr>
        <w:t xml:space="preserve">twenty-five thousand dollars</w:t>
      </w:r>
      <w:r>
        <w:t>))</w:t>
      </w:r>
      <w:r>
        <w:rPr/>
        <w:t xml:space="preserve"> </w:t>
      </w:r>
      <w:r>
        <w:rPr>
          <w:u w:val="single"/>
        </w:rPr>
        <w:t xml:space="preserve">$25,000</w:t>
      </w:r>
      <w:r>
        <w:rPr/>
        <w:t xml:space="preserve">, or both;</w:t>
      </w:r>
    </w:p>
    <w:p>
      <w:pPr>
        <w:spacing w:before="0" w:after="0" w:line="408" w:lineRule="exact"/>
        <w:ind w:left="0" w:right="0" w:firstLine="576"/>
        <w:jc w:val="left"/>
      </w:pPr>
      <w:r>
        <w:rPr/>
        <w:t xml:space="preserve">(c) Any other counterfeit substance classified in Schedule I, II, or III, is guilty of a class C felony punishable according to chapter 9A.20 RCW;</w:t>
      </w:r>
    </w:p>
    <w:p>
      <w:pPr>
        <w:spacing w:before="0" w:after="0" w:line="408" w:lineRule="exact"/>
        <w:ind w:left="0" w:right="0" w:firstLine="576"/>
        <w:jc w:val="left"/>
      </w:pPr>
      <w:r>
        <w:rPr/>
        <w:t xml:space="preserve">(d) A counterfeit substance classified in Schedule IV, except flunitrazepam, is guilty of a class C felony punishable according to chapter 9A.20 RCW;</w:t>
      </w:r>
    </w:p>
    <w:p>
      <w:pPr>
        <w:spacing w:before="0" w:after="0" w:line="408" w:lineRule="exact"/>
        <w:ind w:left="0" w:right="0" w:firstLine="576"/>
        <w:jc w:val="left"/>
      </w:pPr>
      <w:r>
        <w:rPr/>
        <w:t xml:space="preserve">(e) A counterfeit substance classified in Schedule V, is guilty of a class C felony punishable according to chapter 9A.20 RCW.</w:t>
      </w:r>
    </w:p>
    <w:p>
      <w:pPr>
        <w:spacing w:before="0" w:after="0" w:line="408" w:lineRule="exact"/>
        <w:ind w:left="0" w:right="0" w:firstLine="576"/>
        <w:jc w:val="left"/>
      </w:pPr>
      <w:r>
        <w:rPr>
          <w:u w:val="single"/>
        </w:rPr>
        <w:t xml:space="preserve">(3)(a) A violation of subsection (1)(b) of this section is a gross misdemeanor. The prosecutor is encouraged to divert such cases for assessment, treatment, or other services.</w:t>
      </w:r>
    </w:p>
    <w:p>
      <w:pPr>
        <w:spacing w:before="0" w:after="0" w:line="408" w:lineRule="exact"/>
        <w:ind w:left="0" w:right="0" w:firstLine="576"/>
        <w:jc w:val="left"/>
      </w:pPr>
      <w:r>
        <w:rPr>
          <w:u w:val="single"/>
        </w:rPr>
        <w:t xml:space="preserve">(b) In lieu of jail booking and referral to the prosecutor, law enforcement is encouraged to offer a referral to assessment and services available under RCW 10.31.110 or other program or entity responsible for receiving referrals in lieu of legal system involvement, which may include, but are not limited to, arrest and jail alternative programs established under RCW 36.28A.450, law enforcement assisted diversion programs established under RCW 71.24.589, and the recovery navigator program established under RCW 71.24.115.</w:t>
      </w:r>
    </w:p>
    <w:p>
      <w:pPr>
        <w:spacing w:before="0" w:after="0" w:line="408" w:lineRule="exact"/>
        <w:ind w:left="0" w:right="0" w:firstLine="576"/>
        <w:jc w:val="left"/>
      </w:pPr>
      <w:r>
        <w:rPr>
          <w:u w:val="single"/>
        </w:rPr>
        <w:t xml:space="preserve">(c) Upon arraignment for a violation of subsection (1)(b) of this section, the court shall advise the defendant of the pretrial diversion program as indicated in section 9(1)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2022 c 16 s 86 are each amended to read as follows:</w:t>
      </w:r>
    </w:p>
    <w:p>
      <w:pPr>
        <w:spacing w:before="0" w:after="0" w:line="408" w:lineRule="exact"/>
        <w:ind w:left="0" w:right="0" w:firstLine="576"/>
        <w:jc w:val="left"/>
      </w:pPr>
      <w:r>
        <w:rPr/>
        <w:t xml:space="preserve">(1) It is unlawful for any person to </w:t>
      </w:r>
      <w:r>
        <w:rPr>
          <w:u w:val="single"/>
        </w:rPr>
        <w:t xml:space="preserve">knowingly</w:t>
      </w:r>
      <w:r>
        <w:rPr/>
        <w:t xml:space="preserve">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w:t>
      </w:r>
      <w:r>
        <w:rPr>
          <w:u w:val="single"/>
        </w:rPr>
        <w:t xml:space="preserve">(a)</w:t>
      </w:r>
      <w:r>
        <w:rPr/>
        <w:t xml:space="preserve"> Except as provided in RCW 69.50.4014, </w:t>
      </w:r>
      <w:r>
        <w:t>((</w:t>
      </w:r>
      <w:r>
        <w:rPr>
          <w:strike/>
        </w:rPr>
        <w:t xml:space="preserve">any person who violates this section is guilty of a class C felony punishable under chapter 9A.20 RCW</w:t>
      </w:r>
      <w:r>
        <w:t>))</w:t>
      </w:r>
      <w:r>
        <w:rPr/>
        <w:t xml:space="preserve"> </w:t>
      </w:r>
      <w:r>
        <w:rPr>
          <w:u w:val="single"/>
        </w:rPr>
        <w:t xml:space="preserve">a violation of this section is a gross misdemeanor. The prosecutor is encouraged to divert such cases for assessment, treatment, or other services.</w:t>
      </w:r>
    </w:p>
    <w:p>
      <w:pPr>
        <w:spacing w:before="0" w:after="0" w:line="408" w:lineRule="exact"/>
        <w:ind w:left="0" w:right="0" w:firstLine="576"/>
        <w:jc w:val="left"/>
      </w:pPr>
      <w:r>
        <w:rPr>
          <w:u w:val="single"/>
        </w:rPr>
        <w:t xml:space="preserve">(b) In lieu of jail booking and referral to the prosecutor, law enforcement is encouraged to offer a referral to assessment and services available under RCW 10.31.110 or other program or entity responsible for receiving referrals in lieu of legal system involvement, which may include, but are not limited to, arrest and jail alternative programs established under RCW 36.28A.450, law enforcement assisted diversion programs established under RCW 71.24.589, and the recovery navigator program established under RCW 71.24.115.</w:t>
      </w:r>
    </w:p>
    <w:p>
      <w:pPr>
        <w:spacing w:before="0" w:after="0" w:line="408" w:lineRule="exact"/>
        <w:ind w:left="0" w:right="0" w:firstLine="576"/>
        <w:jc w:val="left"/>
      </w:pPr>
      <w:r>
        <w:rPr>
          <w:u w:val="single"/>
        </w:rPr>
        <w:t xml:space="preserve">(c) Upon arraignment for a violation of this section, the court shall advise the defendant of the availability of the pretrial diversion program as indicated in section 9(1) of this act</w:t>
      </w:r>
      <w:r>
        <w:rPr/>
        <w:t xml:space="preserve">.</w:t>
      </w:r>
    </w:p>
    <w:p>
      <w:pPr>
        <w:spacing w:before="0" w:after="0" w:line="408" w:lineRule="exact"/>
        <w:ind w:left="0" w:right="0" w:firstLine="576"/>
        <w:jc w:val="left"/>
      </w:pPr>
      <w:r>
        <w:rPr/>
        <w:t xml:space="preserve">(3)(a) The possession, by a person </w:t>
      </w:r>
      <w:r>
        <w:t>((</w:t>
      </w:r>
      <w:r>
        <w:rPr>
          <w:strike/>
        </w:rPr>
        <w:t xml:space="preserve">twenty-one</w:t>
      </w:r>
      <w:r>
        <w:t>))</w:t>
      </w:r>
      <w:r>
        <w:rPr/>
        <w:t xml:space="preserve"> </w:t>
      </w:r>
      <w:r>
        <w:rPr>
          <w:u w:val="single"/>
        </w:rPr>
        <w:t xml:space="preserve">21</w:t>
      </w:r>
      <w:r>
        <w:rPr/>
        <w:t xml:space="preserve"> years of age or older, of useable cannabis, cannabis concentrates, or cannabis-infused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cannabis, useable cannabis, cannabis concentrates, and cannabis-infused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rPr/>
        <w:t xml:space="preserve">(4)(a) The delivery by a person </w:t>
      </w:r>
      <w:r>
        <w:t>((</w:t>
      </w:r>
      <w:r>
        <w:rPr>
          <w:strike/>
        </w:rPr>
        <w:t xml:space="preserve">twenty-one</w:t>
      </w:r>
      <w:r>
        <w:t>))</w:t>
      </w:r>
      <w:r>
        <w:rPr/>
        <w:t xml:space="preserve"> </w:t>
      </w:r>
      <w:r>
        <w:rPr>
          <w:u w:val="single"/>
        </w:rPr>
        <w:t xml:space="preserve">21</w:t>
      </w:r>
      <w:r>
        <w:rPr/>
        <w:t xml:space="preserve"> years of age or older to one or more persons </w:t>
      </w:r>
      <w:r>
        <w:t>((</w:t>
      </w:r>
      <w:r>
        <w:rPr>
          <w:strike/>
        </w:rPr>
        <w:t xml:space="preserve">twenty-one</w:t>
      </w:r>
      <w:r>
        <w:t>))</w:t>
      </w:r>
      <w:r>
        <w:rPr/>
        <w:t xml:space="preserve"> </w:t>
      </w:r>
      <w:r>
        <w:rPr>
          <w:u w:val="single"/>
        </w:rPr>
        <w:t xml:space="preserve">21</w:t>
      </w:r>
      <w:r>
        <w:rPr/>
        <w:t xml:space="preserve"> years of age or older, during a single </w:t>
      </w:r>
      <w:r>
        <w:t>((</w:t>
      </w:r>
      <w:r>
        <w:rPr>
          <w:strike/>
        </w:rPr>
        <w:t xml:space="preserve">twenty-four</w:t>
      </w:r>
      <w:r>
        <w:t>))</w:t>
      </w:r>
      <w:r>
        <w:rPr/>
        <w:t xml:space="preserve"> </w:t>
      </w:r>
      <w:r>
        <w:rPr>
          <w:u w:val="single"/>
        </w:rPr>
        <w:t xml:space="preserve">24</w:t>
      </w:r>
      <w:r>
        <w:rPr/>
        <w:t xml:space="preserve"> hour period, for noncommercial purposes and not conditioned upon or done in connection with the provision or receipt of financial consideration, of any of the following cannabis products, is not a violation of this section, this chapter, or any other provisions of Washington state law:</w:t>
      </w:r>
    </w:p>
    <w:p>
      <w:pPr>
        <w:spacing w:before="0" w:after="0" w:line="408" w:lineRule="exact"/>
        <w:ind w:left="0" w:right="0" w:firstLine="576"/>
        <w:jc w:val="left"/>
      </w:pPr>
      <w:r>
        <w:rPr/>
        <w:t xml:space="preserve">(i) One-half ounce of useable cannabis;</w:t>
      </w:r>
    </w:p>
    <w:p>
      <w:pPr>
        <w:spacing w:before="0" w:after="0" w:line="408" w:lineRule="exact"/>
        <w:ind w:left="0" w:right="0" w:firstLine="576"/>
        <w:jc w:val="left"/>
      </w:pPr>
      <w:r>
        <w:rPr/>
        <w:t xml:space="preserve">(ii) Eight ounces of cannabis-infused product in solid form;</w:t>
      </w:r>
    </w:p>
    <w:p>
      <w:pPr>
        <w:spacing w:before="0" w:after="0" w:line="408" w:lineRule="exact"/>
        <w:ind w:left="0" w:right="0" w:firstLine="576"/>
        <w:jc w:val="left"/>
      </w:pPr>
      <w:r>
        <w:rPr/>
        <w:t xml:space="preserve">(iii) </w:t>
      </w:r>
      <w:r>
        <w:t>((</w:t>
      </w:r>
      <w:r>
        <w:rPr>
          <w:strike/>
        </w:rPr>
        <w:t xml:space="preserve">Thirty-six</w:t>
      </w:r>
      <w:r>
        <w:t>))</w:t>
      </w:r>
      <w:r>
        <w:rPr/>
        <w:t xml:space="preserve"> </w:t>
      </w:r>
      <w:r>
        <w:rPr>
          <w:u w:val="single"/>
        </w:rPr>
        <w:t xml:space="preserve">36</w:t>
      </w:r>
      <w:r>
        <w:rPr/>
        <w:t xml:space="preserve"> ounces of cannabis-infused product in liquid form; or</w:t>
      </w:r>
    </w:p>
    <w:p>
      <w:pPr>
        <w:spacing w:before="0" w:after="0" w:line="408" w:lineRule="exact"/>
        <w:ind w:left="0" w:right="0" w:firstLine="576"/>
        <w:jc w:val="left"/>
      </w:pPr>
      <w:r>
        <w:rPr/>
        <w:t xml:space="preserve">(iv) Three and one-half grams of cannabis concentrates.</w:t>
      </w:r>
    </w:p>
    <w:p>
      <w:pPr>
        <w:spacing w:before="0" w:after="0" w:line="408" w:lineRule="exact"/>
        <w:ind w:left="0" w:right="0" w:firstLine="576"/>
        <w:jc w:val="left"/>
      </w:pPr>
      <w:r>
        <w:rPr/>
        <w:t xml:space="preserve">(b) The act of delivering cannabis or a cannabis product as authorized under this subsection (4)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cannabis or cannabis product must be in the original packaging as purchased from the cannabis retailer.</w:t>
      </w:r>
    </w:p>
    <w:p>
      <w:pPr>
        <w:spacing w:before="0" w:after="0" w:line="408" w:lineRule="exact"/>
        <w:ind w:left="0" w:right="0" w:firstLine="576"/>
        <w:jc w:val="left"/>
      </w:pPr>
      <w:r>
        <w:rPr/>
        <w:t xml:space="preserve">(5) No person under </w:t>
      </w:r>
      <w:r>
        <w:t>((</w:t>
      </w:r>
      <w:r>
        <w:rPr>
          <w:strike/>
        </w:rPr>
        <w:t xml:space="preserve">twenty-one</w:t>
      </w:r>
      <w:r>
        <w:t>))</w:t>
      </w:r>
      <w:r>
        <w:rPr/>
        <w:t xml:space="preserve"> </w:t>
      </w:r>
      <w:r>
        <w:rPr>
          <w:u w:val="single"/>
        </w:rPr>
        <w:t xml:space="preserve">21</w:t>
      </w:r>
      <w:r>
        <w:rPr/>
        <w:t xml:space="preserve"> years of age may </w:t>
      </w:r>
      <w:r>
        <w:t>((</w:t>
      </w:r>
      <w:r>
        <w:rPr>
          <w:strike/>
        </w:rPr>
        <w:t xml:space="preserve">possess,</w:t>
      </w:r>
      <w:r>
        <w:t>))</w:t>
      </w:r>
      <w:r>
        <w:rPr/>
        <w:t xml:space="preserve"> manufacture, sell, </w:t>
      </w:r>
      <w:r>
        <w:t>((</w:t>
      </w:r>
      <w:r>
        <w:rPr>
          <w:strike/>
        </w:rPr>
        <w:t xml:space="preserve">or</w:t>
      </w:r>
      <w:r>
        <w:t>))</w:t>
      </w:r>
      <w:r>
        <w:rPr/>
        <w:t xml:space="preserve"> distribute</w:t>
      </w:r>
      <w:r>
        <w:rPr>
          <w:u w:val="single"/>
        </w:rPr>
        <w:t xml:space="preserve">, or knowingly possess</w:t>
      </w:r>
      <w:r>
        <w:rPr/>
        <w:t xml:space="preserve"> cannabis, cannabis-infused products, or cannabis concentrates, regardless of THC concentration. This does not include qualifying patients with a valid authorization.</w:t>
      </w:r>
    </w:p>
    <w:p>
      <w:pPr>
        <w:spacing w:before="0" w:after="0" w:line="408" w:lineRule="exact"/>
        <w:ind w:left="0" w:right="0" w:firstLine="576"/>
        <w:jc w:val="left"/>
      </w:pPr>
      <w:r>
        <w:rPr/>
        <w:t xml:space="preserve">(6) The possession by a qualifying patient or designated provider of cannabis concentrates, useable cannabis, cannabis-infused products, or plants in accordance with chapter 69.51A RCW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4014</w:t>
      </w:r>
      <w:r>
        <w:rPr/>
        <w:t xml:space="preserve"> and 2022 c 16 s 88 are each amended to read as follows:</w:t>
      </w:r>
    </w:p>
    <w:p>
      <w:pPr>
        <w:spacing w:before="0" w:after="0" w:line="408" w:lineRule="exact"/>
        <w:ind w:left="0" w:right="0" w:firstLine="576"/>
        <w:jc w:val="left"/>
      </w:pPr>
      <w:r>
        <w:rPr>
          <w:u w:val="single"/>
        </w:rPr>
        <w:t xml:space="preserve">(1)</w:t>
      </w:r>
      <w:r>
        <w:rPr/>
        <w:t xml:space="preserve"> Except as provided in RCW 69.50.401(2)(c) or as otherwise authorized by this chapter, any person found guilty of </w:t>
      </w:r>
      <w:r>
        <w:rPr>
          <w:u w:val="single"/>
        </w:rPr>
        <w:t xml:space="preserve">knowing</w:t>
      </w:r>
      <w:r>
        <w:rPr/>
        <w:t xml:space="preserve"> possession of </w:t>
      </w:r>
      <w:r>
        <w:t>((</w:t>
      </w:r>
      <w:r>
        <w:rPr>
          <w:strike/>
        </w:rPr>
        <w:t xml:space="preserve">forty</w:t>
      </w:r>
      <w:r>
        <w:t>))</w:t>
      </w:r>
      <w:r>
        <w:rPr/>
        <w:t xml:space="preserve"> </w:t>
      </w:r>
      <w:r>
        <w:rPr>
          <w:u w:val="single"/>
        </w:rPr>
        <w:t xml:space="preserve">40</w:t>
      </w:r>
      <w:r>
        <w:rPr/>
        <w:t xml:space="preserve"> grams or less of cannabis is guilty of a misdemeanor. </w:t>
      </w:r>
      <w:r>
        <w:rPr>
          <w:u w:val="single"/>
        </w:rPr>
        <w:t xml:space="preserve">The prosecutor is encouraged to divert such cases for assessment, treatment, or other services.</w:t>
      </w:r>
    </w:p>
    <w:p>
      <w:pPr>
        <w:spacing w:before="0" w:after="0" w:line="408" w:lineRule="exact"/>
        <w:ind w:left="0" w:right="0" w:firstLine="576"/>
        <w:jc w:val="left"/>
      </w:pPr>
      <w:r>
        <w:rPr>
          <w:u w:val="single"/>
        </w:rPr>
        <w:t xml:space="preserve">(2) In lieu of jail booking and referral to the prosecutor, law enforcement is encouraged to offer a referral to assessment and services available under RCW 10.31.110 or other program or entity responsible for receiving referrals in lieu of legal system involvement, which may include, but are not limited to, arrest and jail alternative programs established under RCW 36.28A.450, law enforcement assisted diversion programs established under RCW 71.24.589, and the recovery navigator program established under RCW 71.24.115.</w:t>
      </w:r>
    </w:p>
    <w:p>
      <w:pPr>
        <w:spacing w:before="0" w:after="0" w:line="408" w:lineRule="exact"/>
        <w:ind w:left="0" w:right="0" w:firstLine="576"/>
        <w:jc w:val="left"/>
      </w:pPr>
      <w:r>
        <w:rPr>
          <w:u w:val="single"/>
        </w:rPr>
        <w:t xml:space="preserve">(3) Upon arraignment for violation of this section, the court shall advise the defendant of the availability of the pretrial diversion program as indicated in section 9(1)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2020 c 80 s 41 are each amended to read as follows:</w:t>
      </w:r>
    </w:p>
    <w:p>
      <w:pPr>
        <w:spacing w:before="0" w:after="0" w:line="408" w:lineRule="exact"/>
        <w:ind w:left="0" w:right="0" w:firstLine="576"/>
        <w:jc w:val="left"/>
      </w:pPr>
      <w:r>
        <w:rPr/>
        <w:t xml:space="preserve">(1) It shall be unlawful for any person to sell</w:t>
      </w:r>
      <w:r>
        <w:t>((</w:t>
      </w:r>
      <w:r>
        <w:rPr>
          <w:strike/>
        </w:rPr>
        <w:t xml:space="preserve">,</w:t>
      </w:r>
      <w:r>
        <w:t>))</w:t>
      </w:r>
      <w:r>
        <w:rPr/>
        <w:t xml:space="preserve"> </w:t>
      </w:r>
      <w:r>
        <w:rPr>
          <w:u w:val="single"/>
        </w:rPr>
        <w:t xml:space="preserve">or</w:t>
      </w:r>
      <w:r>
        <w:rPr/>
        <w:t xml:space="preserve"> deliver </w:t>
      </w:r>
      <w:r>
        <w:rPr>
          <w:u w:val="single"/>
        </w:rPr>
        <w:t xml:space="preserve">any legend drug</w:t>
      </w:r>
      <w:r>
        <w:rPr/>
        <w:t xml:space="preserve">, or </w:t>
      </w:r>
      <w:r>
        <w:rPr>
          <w:u w:val="single"/>
        </w:rPr>
        <w:t xml:space="preserve">knowingly</w:t>
      </w:r>
      <w:r>
        <w:rPr/>
        <w:t xml:space="preserve"> possess any legend drug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commission and approved by a practitioner authorized to prescribe drugs, a physician assistant under chapter 18.71A RCW when authorized by the Washington medical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 PROVIDED FURTHER, That nothing in this chapter prohibits possession or delivery of legend drugs by an authorized collector or other person participating in the operation of a drug take-back program authorized in chapter 69.48 RCW.</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w:t>
      </w:r>
      <w:r>
        <w:rPr>
          <w:u w:val="single"/>
        </w:rPr>
        <w:t xml:space="preserve">knowing</w:t>
      </w:r>
      <w:r>
        <w:rPr/>
        <w:t xml:space="preserve"> possession is a misdemeanor. </w:t>
      </w:r>
      <w:r>
        <w:rPr>
          <w:u w:val="single"/>
        </w:rPr>
        <w:t xml:space="preserve">The prosecutor is encouraged to divert such cases for assessment, treatment, or other services.</w:t>
      </w:r>
    </w:p>
    <w:p>
      <w:pPr>
        <w:spacing w:before="0" w:after="0" w:line="408" w:lineRule="exact"/>
        <w:ind w:left="0" w:right="0" w:firstLine="576"/>
        <w:jc w:val="left"/>
      </w:pPr>
      <w:r>
        <w:rPr>
          <w:u w:val="single"/>
        </w:rPr>
        <w:t xml:space="preserve">(c) In lieu of jail booking and referral to the prosecutor for a violation of this section involving knowing possession, law enforcement is encouraged to offer a referral to assessment and services available under RCW 10.31.110 or other program or entity responsible for receiving referrals in lieu of legal system involvement, which may include, but are not limited to, arrest and jail alternative programs established under RCW 36.28A.450, law enforcement assisted diversion programs established under RCW 71.24.589, and the recovery navigator program established under RCW 71.24.115.</w:t>
      </w:r>
    </w:p>
    <w:p>
      <w:pPr>
        <w:spacing w:before="0" w:after="0" w:line="408" w:lineRule="exact"/>
        <w:ind w:left="0" w:right="0" w:firstLine="576"/>
        <w:jc w:val="left"/>
      </w:pPr>
      <w:r>
        <w:rPr>
          <w:u w:val="single"/>
        </w:rPr>
        <w:t xml:space="preserve">(d) Upon arraignment for a violation of this section involving knowing possession, the court shall advise the defendant of the availability of the pretrial diversion program as indicated in section 9(1)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509</w:t>
      </w:r>
      <w:r>
        <w:rPr/>
        <w:t xml:space="preserve"> and 1987 c 202 s 228 are each amended to read as follows:</w:t>
      </w:r>
    </w:p>
    <w:p>
      <w:pPr>
        <w:spacing w:before="0" w:after="0" w:line="408" w:lineRule="exact"/>
        <w:ind w:left="0" w:right="0" w:firstLine="576"/>
        <w:jc w:val="left"/>
      </w:pPr>
      <w:r>
        <w:rPr/>
        <w:t xml:space="preserve">If, upon the sworn complaint of any person, it shall be made to appear to any judge of the superior court, district court, or municipal court that there is probable cause to believe that any controlled substance is being used, manufactured, sold, bartered, exchanged, administered, dispensed, delivered, distributed, produced, </w:t>
      </w:r>
      <w:r>
        <w:rPr>
          <w:u w:val="single"/>
        </w:rPr>
        <w:t xml:space="preserve">knowingly</w:t>
      </w:r>
      <w:r>
        <w:rPr/>
        <w:t xml:space="preserve"> possessed, given away, furnished or otherwise disposed of or kept in violation of the provisions of this chapter, such judge shall, with or without the approval of the prosecuting attorney, issue a warrant directed to any law enforcement officer of the state, commanding him or her to search the premises designated and described in such complaint and warrant, and to seize all controlled substances there found, together with the vessels in which they are contained, and all implements, furniture and fixtures used or kept for the illegal manufacture, sale, barter, exchange, administering, dispensing, delivering, distributing, producing, possessing, giving away, furnishing or otherwise disposing of such controlled substances, and to safely keep the same, and to make a return of said warrant within three days, showing all acts and things done thereunder, with a particular statement of all articles seized and the name of the person or persons in whose possession the same were found, if any, and if no person be found in the possession of said articles, the returns shall so state. The provisions of RCW 10.31.030 as now or hereafter amended shall apply to actions taken pursuant to this chapter.</w:t>
      </w:r>
    </w:p>
    <w:p>
      <w:pPr>
        <w:spacing w:before="240" w:after="0" w:line="408" w:lineRule="exact"/>
        <w:ind w:left="0" w:right="0" w:firstLine="576"/>
        <w:jc w:val="center"/>
      </w:pPr>
      <w:r>
        <w:rPr>
          <w:b/>
        </w:rPr>
        <w:t xml:space="preserve">Part II – Relating to Drug Paraphernalia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4121</w:t>
      </w:r>
      <w:r>
        <w:rPr/>
        <w:t xml:space="preserve"> and 2022 c 16 s 92 are each amended to read as follows:</w:t>
      </w:r>
    </w:p>
    <w:p>
      <w:pPr>
        <w:spacing w:before="0" w:after="0" w:line="408" w:lineRule="exact"/>
        <w:ind w:left="0" w:right="0" w:firstLine="576"/>
        <w:jc w:val="left"/>
      </w:pPr>
      <w:r>
        <w:rPr/>
        <w:t xml:space="preserve">(1) Every person who sells </w:t>
      </w:r>
      <w:r>
        <w:t>((</w:t>
      </w:r>
      <w:r>
        <w:rPr>
          <w:strike/>
        </w:rPr>
        <w:t xml:space="preserve">or gives,</w:t>
      </w:r>
      <w:r>
        <w:t>))</w:t>
      </w:r>
      <w:r>
        <w:rPr/>
        <w:t xml:space="preserve"> or permits to be sold </w:t>
      </w:r>
      <w:r>
        <w:t>((</w:t>
      </w:r>
      <w:r>
        <w:rPr>
          <w:strike/>
        </w:rPr>
        <w:t xml:space="preserve">or given</w:t>
      </w:r>
      <w:r>
        <w:t>))</w:t>
      </w:r>
      <w:r>
        <w:rPr/>
        <w:t xml:space="preserve"> to any person any drug paraphernalia in any form commits a class I civil infraction under chapter 7.80 RCW. For purposes of this subsection, "drug paraphernalia" means all equipment, products, and materials of any kind which are used, intended for use, or designed for use in planting, propagating, cultivating, growing, harvesting, manufacturing, compounding, converting, producing, processing, preparing, </w:t>
      </w:r>
      <w:r>
        <w:t>((</w:t>
      </w:r>
      <w:r>
        <w:rPr>
          <w:strike/>
        </w:rPr>
        <w:t xml:space="preserve">testing, analyzing,</w:t>
      </w:r>
      <w:r>
        <w:t>))</w:t>
      </w:r>
      <w:r>
        <w:rPr/>
        <w:t xml:space="preserve"> packaging, repackaging, storing, containing, concealing, injecting, ingesting, inhaling, or otherwise introducing into the human body a controlled substance other than cannabis. Drug paraphernalia includes, but is not limited to objects used, intended for use, or designed for use in ingesting, inhaling, or otherwise introducing cocaine into the human body, such as:</w:t>
      </w:r>
    </w:p>
    <w:p>
      <w:pPr>
        <w:spacing w:before="0" w:after="0" w:line="408" w:lineRule="exact"/>
        <w:ind w:left="0" w:right="0" w:firstLine="576"/>
        <w:jc w:val="left"/>
      </w:pPr>
      <w:r>
        <w:rPr/>
        <w:t xml:space="preserve">(a) Metal, wooden, acrylic, glass, stone, plastic, or ceramic pipes with or without screens, permanent screens, hashish heads, or punctured metal bowls;</w:t>
      </w:r>
    </w:p>
    <w:p>
      <w:pPr>
        <w:spacing w:before="0" w:after="0" w:line="408" w:lineRule="exact"/>
        <w:ind w:left="0" w:right="0" w:firstLine="576"/>
        <w:jc w:val="left"/>
      </w:pPr>
      <w:r>
        <w:rPr/>
        <w:t xml:space="preserve">(b) Water pipes;</w:t>
      </w:r>
    </w:p>
    <w:p>
      <w:pPr>
        <w:spacing w:before="0" w:after="0" w:line="408" w:lineRule="exact"/>
        <w:ind w:left="0" w:right="0" w:firstLine="576"/>
        <w:jc w:val="left"/>
      </w:pPr>
      <w:r>
        <w:rPr/>
        <w:t xml:space="preserve">(c) Carburetion tubes and devices;</w:t>
      </w:r>
    </w:p>
    <w:p>
      <w:pPr>
        <w:spacing w:before="0" w:after="0" w:line="408" w:lineRule="exact"/>
        <w:ind w:left="0" w:right="0" w:firstLine="576"/>
        <w:jc w:val="left"/>
      </w:pPr>
      <w:r>
        <w:rPr/>
        <w:t xml:space="preserve">(d) Smoking and carburetion masks;</w:t>
      </w:r>
    </w:p>
    <w:p>
      <w:pPr>
        <w:spacing w:before="0" w:after="0" w:line="408" w:lineRule="exact"/>
        <w:ind w:left="0" w:right="0" w:firstLine="576"/>
        <w:jc w:val="left"/>
      </w:pPr>
      <w:r>
        <w:rPr/>
        <w:t xml:space="preserve">(e) Miniature cocaine spoons and cocaine vials;</w:t>
      </w:r>
    </w:p>
    <w:p>
      <w:pPr>
        <w:spacing w:before="0" w:after="0" w:line="408" w:lineRule="exact"/>
        <w:ind w:left="0" w:right="0" w:firstLine="576"/>
        <w:jc w:val="left"/>
      </w:pPr>
      <w:r>
        <w:rPr/>
        <w:t xml:space="preserve">(f) Chamber pipes;</w:t>
      </w:r>
    </w:p>
    <w:p>
      <w:pPr>
        <w:spacing w:before="0" w:after="0" w:line="408" w:lineRule="exact"/>
        <w:ind w:left="0" w:right="0" w:firstLine="576"/>
        <w:jc w:val="left"/>
      </w:pPr>
      <w:r>
        <w:rPr/>
        <w:t xml:space="preserve">(g) Carburetor pipes;</w:t>
      </w:r>
    </w:p>
    <w:p>
      <w:pPr>
        <w:spacing w:before="0" w:after="0" w:line="408" w:lineRule="exact"/>
        <w:ind w:left="0" w:right="0" w:firstLine="576"/>
        <w:jc w:val="left"/>
      </w:pPr>
      <w:r>
        <w:rPr/>
        <w:t xml:space="preserve">(h) Electric pipes;</w:t>
      </w:r>
    </w:p>
    <w:p>
      <w:pPr>
        <w:spacing w:before="0" w:after="0" w:line="408" w:lineRule="exact"/>
        <w:ind w:left="0" w:right="0" w:firstLine="576"/>
        <w:jc w:val="left"/>
      </w:pPr>
      <w:r>
        <w:rPr/>
        <w:t xml:space="preserve">(i) Air-driven pipes; and</w:t>
      </w:r>
    </w:p>
    <w:p>
      <w:pPr>
        <w:spacing w:before="0" w:after="0" w:line="408" w:lineRule="exact"/>
        <w:ind w:left="0" w:right="0" w:firstLine="576"/>
        <w:jc w:val="left"/>
      </w:pPr>
      <w:r>
        <w:rPr/>
        <w:t xml:space="preserve">(j) Ice pipes or chillers.</w:t>
      </w:r>
    </w:p>
    <w:p>
      <w:pPr>
        <w:spacing w:before="0" w:after="0" w:line="408" w:lineRule="exact"/>
        <w:ind w:left="0" w:right="0" w:firstLine="576"/>
        <w:jc w:val="left"/>
      </w:pPr>
      <w:r>
        <w:rPr/>
        <w:t xml:space="preserve">(2) It shall be no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Nothing in subsection (1) of this section prohibits </w:t>
      </w:r>
      <w:r>
        <w:t>((</w:t>
      </w:r>
      <w:r>
        <w:rPr>
          <w:strike/>
        </w:rPr>
        <w:t xml:space="preserve">legal</w:t>
      </w:r>
      <w:r>
        <w:t>))</w:t>
      </w:r>
      <w:r>
        <w:rPr/>
        <w:t xml:space="preserve"> distribution of </w:t>
      </w:r>
      <w:r>
        <w:rPr>
          <w:u w:val="single"/>
        </w:rPr>
        <w:t xml:space="preserve">public health supplies, including</w:t>
      </w:r>
      <w:r>
        <w:rPr/>
        <w:t xml:space="preserve"> injection syringe equipment</w:t>
      </w:r>
      <w:r>
        <w:rPr>
          <w:u w:val="single"/>
        </w:rPr>
        <w:t xml:space="preserve">, smoking equipment, or drug testing equipment,</w:t>
      </w:r>
      <w:r>
        <w:rPr/>
        <w:t xml:space="preserve"> through public health </w:t>
      </w:r>
      <w:r>
        <w:t>((</w:t>
      </w:r>
      <w:r>
        <w:rPr>
          <w:strike/>
        </w:rPr>
        <w:t xml:space="preserve">and</w:t>
      </w:r>
      <w:r>
        <w:t>))</w:t>
      </w:r>
      <w:r>
        <w:rPr/>
        <w:t xml:space="preserve"> </w:t>
      </w:r>
      <w:r>
        <w:rPr>
          <w:u w:val="single"/>
        </w:rPr>
        <w:t xml:space="preserve">programs,</w:t>
      </w:r>
      <w:r>
        <w:rPr/>
        <w:t xml:space="preserve"> community</w:t>
      </w:r>
      <w:r>
        <w:rPr>
          <w:u w:val="single"/>
        </w:rPr>
        <w:t xml:space="preserve">-</w:t>
      </w:r>
      <w:r>
        <w:rPr/>
        <w:t xml:space="preserve">based HIV prevention programs, and pharmacies.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state of Washington hereby fully occupies and preempts the entire field of drug paraphernalia regulation within the boundaries of the state including regulation of the use, selling, giving, delivery, and possession of drug paraphernalia. Cities, towns, and counties or other municipalities may enact only those laws and ordinances relating to drug paraphernalia that are specifically authorized by state law and are consistent with this chapter. Such local ordinances must have the same penalty as provided for by state law. Local laws and ordinances that are inconsistent with, more restrictive than, or exceed the requirements of state law may not be enacted and are preempted and repealed, regardless of the nature of the code, charter, or home rule status of such city, town, county, or municipality.</w:t>
      </w:r>
    </w:p>
    <w:p>
      <w:pPr>
        <w:spacing w:before="240" w:after="0" w:line="408" w:lineRule="exact"/>
        <w:ind w:left="0" w:right="0" w:firstLine="576"/>
        <w:jc w:val="center"/>
      </w:pPr>
      <w:r>
        <w:rPr>
          <w:b/>
        </w:rPr>
        <w:t xml:space="preserve">Part III - Creating a Pretrial Diversion Program for Individuals Charged with Possession and Vacating Possession Convictions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For any charged violation of RCW 69.50.4011(1)(b), 69.50.4013, 69.50.4014, or 69.41.030, the court shall advise the defendant and his or her attorney of the pretrial diversion program. This notification must include all of the following:</w:t>
      </w:r>
    </w:p>
    <w:p>
      <w:pPr>
        <w:spacing w:before="0" w:after="0" w:line="408" w:lineRule="exact"/>
        <w:ind w:left="0" w:right="0" w:firstLine="576"/>
        <w:jc w:val="left"/>
      </w:pPr>
      <w:r>
        <w:rPr/>
        <w:t xml:space="preserve">(a) A full description of the procedures for pretrial diversion;</w:t>
      </w:r>
    </w:p>
    <w:p>
      <w:pPr>
        <w:spacing w:before="0" w:after="0" w:line="408" w:lineRule="exact"/>
        <w:ind w:left="0" w:right="0" w:firstLine="576"/>
        <w:jc w:val="left"/>
      </w:pPr>
      <w:r>
        <w:rPr/>
        <w:t xml:space="preserve">(b) A general explanation of the roles and authorities of the probation department, the prosecuting attorney, the program, and the court in the process;</w:t>
      </w:r>
    </w:p>
    <w:p>
      <w:pPr>
        <w:spacing w:before="0" w:after="0" w:line="408" w:lineRule="exact"/>
        <w:ind w:left="0" w:right="0" w:firstLine="576"/>
        <w:jc w:val="left"/>
      </w:pPr>
      <w:r>
        <w:rPr/>
        <w:t xml:space="preserve">(c) A clear statement that the court may grant pretrial diversion with respect to any offense under RCW 69.50.4011(1)(b), 69.50.4013, 69.50.4014, or 69.41.030 that is charged, provided that the defendant pleads not guilty to the charge or charges, waives the right to a speedy trial and that upon the defendant's successful completion of the program, as specified in subsection (9)(d) of this section, the positive recommendation of the program authority and motion of the defendant, prosecuting attorney, the court, or the probation department, but no sooner than 12 months and no later than 18 months from the date of the defendant's referral to the program, the court must dismiss the charge or charges against the defendant;</w:t>
      </w:r>
    </w:p>
    <w:p>
      <w:pPr>
        <w:spacing w:before="0" w:after="0" w:line="408" w:lineRule="exact"/>
        <w:ind w:left="0" w:right="0" w:firstLine="576"/>
        <w:jc w:val="left"/>
      </w:pPr>
      <w:r>
        <w:rPr/>
        <w:t xml:space="preserve">(d) A clear statement that if the defendant has not meaningfully engaged with services provided that are appropriate to the defendant's circumstances, the prosecuting attorney may make a motion to terminate pretrial diversion and schedule further proceedings as otherwise provided in this section; and</w:t>
      </w:r>
    </w:p>
    <w:p>
      <w:pPr>
        <w:spacing w:before="0" w:after="0" w:line="408" w:lineRule="exact"/>
        <w:ind w:left="0" w:right="0" w:firstLine="576"/>
        <w:jc w:val="left"/>
      </w:pPr>
      <w:r>
        <w:rPr/>
        <w:t xml:space="preserve">(e) An explanation of criminal record retention and disposition resulting from participation in the pretrial diversion program and the defendant's rights relative to answering questions about his or her arrest and pretrial diversion following successful completion of the program.</w:t>
      </w:r>
    </w:p>
    <w:p>
      <w:pPr>
        <w:spacing w:before="0" w:after="0" w:line="408" w:lineRule="exact"/>
        <w:ind w:left="0" w:right="0" w:firstLine="576"/>
        <w:jc w:val="left"/>
      </w:pPr>
      <w:r>
        <w:rPr/>
        <w:t xml:space="preserve">(2) Upon a motion of the defendant and agreement to waive his or her right to a speedy trial if granted pretrial diversion, the court may grant the motion and continue the hearing and refer the defendant for an assessment by any substance use disorder treatment program as designated in chapter 71.24 RCW.</w:t>
      </w:r>
    </w:p>
    <w:p>
      <w:pPr>
        <w:spacing w:before="0" w:after="0" w:line="408" w:lineRule="exact"/>
        <w:ind w:left="0" w:right="0" w:firstLine="576"/>
        <w:jc w:val="left"/>
      </w:pPr>
      <w:r>
        <w:rPr/>
        <w:t xml:space="preserve">(3) The treatment program must make a written report to the court stating its findings and recommendations after the examination. The report shall be filed under seal, and the court shall endeavor to avoid public discussion of circumstances, history, or diagnoses that could be embarrassing or stigmatizing to the defendant.</w:t>
      </w:r>
    </w:p>
    <w:p>
      <w:pPr>
        <w:spacing w:before="0" w:after="0" w:line="408" w:lineRule="exact"/>
        <w:ind w:left="0" w:right="0" w:firstLine="576"/>
        <w:jc w:val="left"/>
      </w:pPr>
      <w:r>
        <w:rPr/>
        <w:t xml:space="preserve">(4) The report with the treatment or service plan must be filed with the court and a copy given to the prosecutor, the defendant, and the defendant's counsel.</w:t>
      </w:r>
    </w:p>
    <w:p>
      <w:pPr>
        <w:spacing w:before="0" w:after="0" w:line="408" w:lineRule="exact"/>
        <w:ind w:left="0" w:right="0" w:firstLine="576"/>
        <w:jc w:val="left"/>
      </w:pPr>
      <w:r>
        <w:rPr/>
        <w:t xml:space="preserve">(5) Subject to the availability of funds appropriated for this purpose, the assessment and recommended services or treatment must be provided at no cost for individuals who have been found to be indigent by the court.</w:t>
      </w:r>
    </w:p>
    <w:p>
      <w:pPr>
        <w:spacing w:before="0" w:after="0" w:line="408" w:lineRule="exact"/>
        <w:ind w:left="0" w:right="0" w:firstLine="576"/>
        <w:jc w:val="left"/>
      </w:pPr>
      <w:r>
        <w:rPr/>
        <w:t xml:space="preserve">(6) No statement, or any information procured therefrom relating to the charge for which the defendant is receiving treatment or services, made by the defendant to any treatment or service provider, that is made during the course of any assessment or services provided by the treatment program pursuant to subsections (2) through (4) of this section, and before the reporting of the findings and recommendations to the court, may be admissible in any action or proceeding brought subsequent to the investigation.</w:t>
      </w:r>
    </w:p>
    <w:p>
      <w:pPr>
        <w:spacing w:before="0" w:after="0" w:line="408" w:lineRule="exact"/>
        <w:ind w:left="0" w:right="0" w:firstLine="576"/>
        <w:jc w:val="left"/>
      </w:pPr>
      <w:r>
        <w:rPr/>
        <w:t xml:space="preserve">(7) A defendant's participation in pretrial diversion under this section does not constitute a conviction, a stipulation to facts, or an admission of guilt for any purpose.</w:t>
      </w:r>
    </w:p>
    <w:p>
      <w:pPr>
        <w:spacing w:before="0" w:after="0" w:line="408" w:lineRule="exact"/>
        <w:ind w:left="0" w:right="0" w:firstLine="576"/>
        <w:jc w:val="left"/>
      </w:pPr>
      <w:r>
        <w:rPr/>
        <w:t xml:space="preserve">(8) At the time that pretrial diversion is granted, any bail bond on file by or on behalf of the defendant must be exonerated, and the court must enter an order so directing.</w:t>
      </w:r>
    </w:p>
    <w:p>
      <w:pPr>
        <w:spacing w:before="0" w:after="0" w:line="408" w:lineRule="exact"/>
        <w:ind w:left="0" w:right="0" w:firstLine="576"/>
        <w:jc w:val="left"/>
      </w:pPr>
      <w:r>
        <w:rPr/>
        <w:t xml:space="preserve">(9)(a) If it appears to the prosecuting attorney that the defendant is not meaningfully engaging in the recommended treatment or services, that the defendant is convicted of an offense that reflects the defendant's propensity for violence, or that the defendant is convicted of a felony, the prosecuting attorney may make a motion for termination from pretrial diversion.</w:t>
      </w:r>
    </w:p>
    <w:p>
      <w:pPr>
        <w:spacing w:before="0" w:after="0" w:line="408" w:lineRule="exact"/>
        <w:ind w:left="0" w:right="0" w:firstLine="576"/>
        <w:jc w:val="left"/>
      </w:pPr>
      <w:r>
        <w:rPr/>
        <w:t xml:space="preserve">(b) After notice to the defendant, the court must hold a hearing to determine whether pretrial diversion shall be terminated.</w:t>
      </w:r>
    </w:p>
    <w:p>
      <w:pPr>
        <w:spacing w:before="0" w:after="0" w:line="408" w:lineRule="exact"/>
        <w:ind w:left="0" w:right="0" w:firstLine="576"/>
        <w:jc w:val="left"/>
      </w:pPr>
      <w:r>
        <w:rPr/>
        <w:t xml:space="preserve">(c) If the court finds that the defendant is not meaningfully engaging in the recommended treatment or services, or the court finds that the defendant has been convicted of an intervening crime as indicated in (a) of this subsection, the court must schedule the matter for further proceedings.</w:t>
      </w:r>
    </w:p>
    <w:p>
      <w:pPr>
        <w:spacing w:before="0" w:after="0" w:line="408" w:lineRule="exact"/>
        <w:ind w:left="0" w:right="0" w:firstLine="576"/>
        <w:jc w:val="left"/>
      </w:pPr>
      <w:r>
        <w:rPr/>
        <w:t xml:space="preserve">(d) If the defendant has successfully completed pretrial diversion, including meaningful engagement with recommended treatment or services, at the end of that period, the criminal possession charge or charges must be dismissed.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2022 c 16 s 7 are each amended to read as follows:</w:t>
      </w:r>
    </w:p>
    <w:p>
      <w:pPr>
        <w:spacing w:before="0" w:after="0" w:line="408" w:lineRule="exact"/>
        <w:ind w:left="0" w:right="0" w:firstLine="576"/>
        <w:jc w:val="left"/>
      </w:pPr>
      <w:r>
        <w:rPr/>
        <w:t xml:space="preserve">(1) When vacating a conviction under this section, the court effectuates the vacation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Every person convicted of a misdemeanor or gross misdemeanor offense may apply to the sentencing court for a vacation of the applicant's record of conviction for the offense. If the court finds the applicant meets the requirements of this subsection, the court may in its discretion vacate the record of conviction. Except as provided in subsections (3), (4), </w:t>
      </w:r>
      <w:r>
        <w:t>((</w:t>
      </w:r>
      <w:r>
        <w:rPr>
          <w:strike/>
        </w:rPr>
        <w:t xml:space="preserve">and</w:t>
      </w:r>
      <w:r>
        <w:t>))</w:t>
      </w:r>
      <w:r>
        <w:rPr/>
        <w:t xml:space="preserve"> (5)</w:t>
      </w:r>
      <w:r>
        <w:rPr>
          <w:u w:val="single"/>
        </w:rPr>
        <w:t xml:space="preserve">, and (6)</w:t>
      </w:r>
      <w:r>
        <w:rPr/>
        <w:t xml:space="preserve"> of this section,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 applicant has not completed all of the terms of the sentence for the offense;</w:t>
      </w:r>
    </w:p>
    <w:p>
      <w:pPr>
        <w:spacing w:before="0" w:after="0" w:line="408" w:lineRule="exact"/>
        <w:ind w:left="0" w:right="0" w:firstLine="576"/>
        <w:jc w:val="left"/>
      </w:pPr>
      <w:r>
        <w:rPr/>
        <w:t xml:space="preserve">(b) There are any criminal charges against the applicant pending in any court of this state or another state, or in any federal or tribal court, at the time of application;</w:t>
      </w:r>
    </w:p>
    <w:p>
      <w:pPr>
        <w:spacing w:before="0" w:after="0" w:line="408" w:lineRule="exact"/>
        <w:ind w:left="0" w:right="0" w:firstLine="576"/>
        <w:jc w:val="left"/>
      </w:pPr>
      <w:r>
        <w:rPr/>
        <w:t xml:space="preserve">(c) The offense was a violent offense as defined in RCW 9.94A.030 or an attempt to commit a violent offense;</w:t>
      </w:r>
    </w:p>
    <w:p>
      <w:pPr>
        <w:spacing w:before="0" w:after="0" w:line="408" w:lineRule="exact"/>
        <w:ind w:left="0" w:right="0" w:firstLine="576"/>
        <w:jc w:val="left"/>
      </w:pPr>
      <w:r>
        <w:rPr/>
        <w:t xml:space="preserve">(d)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 or less than ten years has elapsed since the date of the arrest for the prior offense;</w:t>
      </w:r>
    </w:p>
    <w:p>
      <w:pPr>
        <w:spacing w:before="0" w:after="0" w:line="408" w:lineRule="exact"/>
        <w:ind w:left="0" w:right="0" w:firstLine="576"/>
        <w:jc w:val="left"/>
      </w:pPr>
      <w:r>
        <w:rPr/>
        <w:t xml:space="preserve">(e) The offense was any misdemeanor or gross misdemeanor violation, including attempt, of chapter 9.68 RCW (obscenity and pornography), chapter 9.68A RCW (sexual exploitation of children), or chapter 9A.44 RCW (sex offenses), except for failure to register as a sex offender under RCW 9A.44.132;</w:t>
      </w:r>
    </w:p>
    <w:p>
      <w:pPr>
        <w:spacing w:before="0" w:after="0" w:line="408" w:lineRule="exact"/>
        <w:ind w:left="0" w:right="0" w:firstLine="576"/>
        <w:jc w:val="left"/>
      </w:pPr>
      <w:r>
        <w:rPr/>
        <w:t xml:space="preserve">(f) The applicant was convicted of a misdemeanor or gross misdemeanor offense as defined in RCW 10.99.020, or the court determines after a review of the court file that the offense was committed by one family or household member against another or by one intimate partner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two or more domestic violence convictions stemming from different incidents.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(g) For any offense other than those described in (f)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(h) The offender has been convicted of a new crime in this state, another state, or federal or tribal court in the three years prior to the vacation application; or</w:t>
      </w:r>
    </w:p>
    <w:p>
      <w:pPr>
        <w:spacing w:before="0" w:after="0" w:line="408" w:lineRule="exact"/>
        <w:ind w:left="0" w:right="0" w:firstLine="576"/>
        <w:jc w:val="left"/>
      </w:pPr>
      <w:r>
        <w:rPr/>
        <w:t xml:space="preserve">(i) The applicant is currently restrained by a domestic violence protection order, a no-contact order, an antiharassment order, or a civil restraining order which restrains one party from contacting the other party or was previously restrained by such an order and was found to have committed one or more violations of the order in the five years prior to the vacation application.</w:t>
      </w:r>
    </w:p>
    <w:p>
      <w:pPr>
        <w:spacing w:before="0" w:after="0" w:line="408" w:lineRule="exact"/>
        <w:ind w:left="0" w:right="0" w:firstLine="576"/>
        <w:jc w:val="left"/>
      </w:pPr>
      <w:r>
        <w:rPr/>
        <w:t xml:space="preserve">(3) If the applicant is a victim of sex trafficking, prostitution, or commercial sexual abuse of a minor; sexual assault; or domestic violence as defined in RCW 9.94A.030, or the prosecutor applies on behalf of the state, the sentencing court may vacate the record of conviction if the application satisfies the requirements of RCW 9.96.080. When preparing or filing the petition, the prosecutor is not deemed to be providing legal advice or legal assistance on behalf of the victim, but is fulfilling an administrative function on behalf of the state in order to further their responsibility to seek to reform and improve the administration of criminal justice. A record of conviction vacated using the process in RCW 9.96.080 is subject to subsections </w:t>
      </w:r>
      <w:r>
        <w:t>((</w:t>
      </w:r>
      <w:r>
        <w:rPr>
          <w:strike/>
        </w:rPr>
        <w:t xml:space="preserve">(6) and</w:t>
      </w:r>
      <w:r>
        <w:t>))</w:t>
      </w:r>
      <w:r>
        <w:rPr/>
        <w:t xml:space="preserve"> (7) </w:t>
      </w:r>
      <w:r>
        <w:rPr>
          <w:u w:val="single"/>
        </w:rPr>
        <w:t xml:space="preserve">and (8)</w:t>
      </w:r>
      <w:r>
        <w:rPr/>
        <w:t xml:space="preserve"> of this section.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Every person convicted of a misdemeanor cannabis offense, who was </w:t>
      </w:r>
      <w:r>
        <w:t>((</w:t>
      </w:r>
      <w:r>
        <w:rPr>
          <w:strike/>
        </w:rPr>
        <w:t xml:space="preserve">twenty-one</w:t>
      </w:r>
      <w:r>
        <w:t>))</w:t>
      </w:r>
      <w:r>
        <w:rPr/>
        <w:t xml:space="preserve"> </w:t>
      </w:r>
      <w:r>
        <w:rPr>
          <w:u w:val="single"/>
        </w:rPr>
        <w:t xml:space="preserve">21</w:t>
      </w:r>
      <w:r>
        <w:rPr/>
        <w:t xml:space="preserve"> years of age or older at the time of the offense, may apply to the sentencing court for a vacation of the applicant's record of conviction for the offense. A misdemeanor cannabis offense includes, but is not limited to: Any offense under RCW 69.50.4014, from July 1, 2004, onward, and its predecessor statutes, including RCW 69.50.401(e), from March 21, 1979, to July 1, 2004, and RCW 69.50.401(d), from May 21, 1971, to March 21, 1979, and any offense under an equivalent municipal ordinance. If an applicant qualifies under this subsection, the court shall vacate the record of conviction.</w:t>
      </w:r>
    </w:p>
    <w:p>
      <w:pPr>
        <w:spacing w:before="0" w:after="0" w:line="408" w:lineRule="exact"/>
        <w:ind w:left="0" w:right="0" w:firstLine="576"/>
        <w:jc w:val="left"/>
      </w:pPr>
      <w:r>
        <w:rPr/>
        <w:t xml:space="preserve">(6) </w:t>
      </w:r>
      <w:r>
        <w:rPr>
          <w:u w:val="single"/>
        </w:rPr>
        <w:t xml:space="preserve">An individual who is convicted of a violation of RCW 69.50.4011(1)(b), 69.50.4013, 69.50.4014, or 69.41.030 who subsequently engages with a substance use disorder treatment program as designated in chapter 71.24 RCW may file proof of meaningful engagement with the court. Upon verification that the individual has meaningfully engaged with the substance use disorder treatment program, the court must vacate the conviction or convictions.</w:t>
      </w:r>
    </w:p>
    <w:p>
      <w:pPr>
        <w:spacing w:before="0" w:after="0" w:line="408" w:lineRule="exact"/>
        <w:ind w:left="0" w:right="0" w:firstLine="576"/>
        <w:jc w:val="left"/>
      </w:pPr>
      <w:r>
        <w:rPr>
          <w:u w:val="single"/>
        </w:rPr>
        <w:t xml:space="preserve">(7)</w:t>
      </w:r>
      <w:r>
        <w:rPr/>
        <w:t xml:space="preserve"> A person who is a family member of a homicide victim may apply to the sentencing court on the behalf of the victim for vacation of the victim's record of conviction for prostitution under RCW 9A.88.030. If an applicant qualifies under this subsection, the court shall vacate the victim's record of conviction.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Except as provided in (c) of this subsection,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However, nothing in this section affects the requirements for restoring a right to possess a firearm under RCW 9.41.040. Except as provided in (b) of this subsection, nothing in this section affects or prevents the use of an offender's prior conviction in a later criminal prosecution.</w:t>
      </w:r>
    </w:p>
    <w:p>
      <w:pPr>
        <w:spacing w:before="0" w:after="0" w:line="408" w:lineRule="exact"/>
        <w:ind w:left="0" w:right="0" w:firstLine="576"/>
        <w:jc w:val="left"/>
      </w:pPr>
      <w:r>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a protected party's person, or a protected party's vehicle (RCW 10.99.040, 10.99.050, 26.09.300, 26.26B.050, 26.44.063, 26.44.150, or 26.52.070, or any of the former RCW 26.50.060, 26.50.070, 26.50.130, and 74.34.145); (ii) stalking (RCW 9A.46.110); or (iii) a domestic violence protection order or vulnerable adult protection order entered under chapter 7.105 RCW. A vacated conviction under this section is not considered a conviction of such an offense for the purposes of 27 C.F.R. 478.11.</w:t>
      </w:r>
    </w:p>
    <w:p>
      <w:pPr>
        <w:spacing w:before="0" w:after="0" w:line="408" w:lineRule="exact"/>
        <w:ind w:left="0" w:right="0" w:firstLine="576"/>
        <w:jc w:val="left"/>
      </w:pPr>
      <w:r>
        <w:rPr/>
        <w:t xml:space="preserve">(c) A conviction vacated on or after July 28, 2019, qualifies as a prior conviction for the purpose of charging a present recidivist offense as defined in RCW 9.94A.030 occurring on or after July 28, 2019.</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For the purposes of this section, "cannabis" has the meaning provided in RCW 69.50.101.</w:t>
      </w:r>
    </w:p>
    <w:p>
      <w:pPr>
        <w:spacing w:before="240" w:after="0" w:line="408" w:lineRule="exact"/>
        <w:ind w:left="0" w:right="0" w:firstLine="576"/>
        <w:jc w:val="center"/>
      </w:pPr>
      <w:r>
        <w:rPr>
          <w:b/>
        </w:rPr>
        <w:t xml:space="preserve">Part IV – Opioid Treatment Rural Access and Expansion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200</w:t>
      </w:r>
      <w:r>
        <w:rPr/>
        <w:t xml:space="preserve"> and 2021 c 265 s 2 are each amended to read as follows:</w:t>
      </w:r>
    </w:p>
    <w:p>
      <w:pPr>
        <w:spacing w:before="0" w:after="0" w:line="408" w:lineRule="exact"/>
        <w:ind w:left="0" w:right="0" w:firstLine="576"/>
        <w:jc w:val="left"/>
      </w:pPr>
      <w:r>
        <w:rPr/>
        <w:t xml:space="preserve">(1)(a) The comprehensive plan of each county and city that is planning under RCW 36.70A.040 shall include a process for identifying and siting essential public facilities. Essential public facilities include those facilities that are typically difficult to site, such as airports, state education facilities and state or regional transportation facilities as defined in RCW 47.06.140, regional transit authority facilities as defined in RCW 81.112.020, state and local correctional facilities, solid waste handling facilities, </w:t>
      </w:r>
      <w:r>
        <w:rPr>
          <w:u w:val="single"/>
        </w:rPr>
        <w:t xml:space="preserve">opioid treatment programs including both mobile and fixed-site medication units, recovery residences, harm reduction programs excluding safe injection sites,</w:t>
      </w:r>
      <w:r>
        <w:rPr/>
        <w:t xml:space="preserve"> and inpatient facilities including substance </w:t>
      </w:r>
      <w:r>
        <w:t>((</w:t>
      </w:r>
      <w:r>
        <w:rPr>
          <w:strike/>
        </w:rPr>
        <w:t xml:space="preserve">abuse</w:t>
      </w:r>
      <w:r>
        <w:t>))</w:t>
      </w:r>
      <w:r>
        <w:rPr/>
        <w:t xml:space="preserve"> </w:t>
      </w:r>
      <w:r>
        <w:rPr>
          <w:u w:val="single"/>
        </w:rPr>
        <w:t xml:space="preserve">use disorder treatment</w:t>
      </w:r>
      <w:r>
        <w:rPr/>
        <w:t xml:space="preserve"> facilities, mental health facilities, group homes, community facilities as defined in RCW 72.05.020, and secure community transition facilities as defined in RCW 71.09.020.</w:t>
      </w:r>
    </w:p>
    <w:p>
      <w:pPr>
        <w:spacing w:before="0" w:after="0" w:line="408" w:lineRule="exact"/>
        <w:ind w:left="0" w:right="0" w:firstLine="576"/>
        <w:jc w:val="left"/>
      </w:pPr>
      <w:r>
        <w:rPr/>
        <w:t xml:space="preserve">(b) Unless a facility is expressly listed in (a) of this subsection, essential public facilities do not include facilities that are operated by a private entity in which persons are detained in custody under process of law pending the outcome of legal proceedings but are not used for punishment, correction, counseling, or rehabilitation following the conviction of a criminal offense. Facilities included under this subsection (1)(b) shall not include facilities detaining persons under RCW 71.09.020 </w:t>
      </w:r>
      <w:r>
        <w:t>((</w:t>
      </w:r>
      <w:r>
        <w:rPr>
          <w:strike/>
        </w:rPr>
        <w:t xml:space="preserve">(6) or (15)</w:t>
      </w:r>
      <w:r>
        <w:t>))</w:t>
      </w:r>
      <w:r>
        <w:rPr/>
        <w:t xml:space="preserve"> </w:t>
      </w:r>
      <w:r>
        <w:rPr>
          <w:u w:val="single"/>
        </w:rPr>
        <w:t xml:space="preserve">(7) or (16)</w:t>
      </w:r>
      <w:r>
        <w:rPr/>
        <w:t xml:space="preserve"> or chapter 10.77 or 71.05 RCW.</w:t>
      </w:r>
    </w:p>
    <w:p>
      <w:pPr>
        <w:spacing w:before="0" w:after="0" w:line="408" w:lineRule="exact"/>
        <w:ind w:left="0" w:right="0" w:firstLine="576"/>
        <w:jc w:val="left"/>
      </w:pPr>
      <w:r>
        <w:rPr/>
        <w:t xml:space="preserve">(c) The department of children, youth, and families may not attempt to site new community facilities as defined in RCW 72.05.020 east of the crest of the Cascade mountain range unless there is an equal or greater number of sited community facilities as defined in RCW 72.05.020 on the western side of the crest of the Cascade mountain range.</w:t>
      </w:r>
    </w:p>
    <w:p>
      <w:pPr>
        <w:spacing w:before="0" w:after="0" w:line="408" w:lineRule="exact"/>
        <w:ind w:left="0" w:right="0" w:firstLine="576"/>
        <w:jc w:val="left"/>
      </w:pPr>
      <w:r>
        <w:rPr>
          <w:u w:val="single"/>
        </w:rPr>
        <w:t xml:space="preserve">(d) For the purpose of this section, "harm reduction programs" means programs that emphasize working directly with people who use drugs to prevent overdose and infectious disease transmission, improve the physical, mental, and social well-being of those served, and offer low threshold options for accessing substance use disorder treatment and other health care services.</w:t>
      </w:r>
    </w:p>
    <w:p>
      <w:pPr>
        <w:spacing w:before="0" w:after="0" w:line="408" w:lineRule="exact"/>
        <w:ind w:left="0" w:right="0" w:firstLine="576"/>
        <w:jc w:val="left"/>
      </w:pPr>
      <w:r>
        <w:rPr/>
        <w:t xml:space="preserve">(2) Each county and city planning under RCW 36.70A.040 shall, not later than September 1, 2002, establish a process, or amend its existing process, for identifying and siting essential public facilities and adopt or amend its development regulations as necessary to provide for the siting of secure community transition facilities consistent with statutory requirements applicable to these facilities.</w:t>
      </w:r>
    </w:p>
    <w:p>
      <w:pPr>
        <w:spacing w:before="0" w:after="0" w:line="408" w:lineRule="exact"/>
        <w:ind w:left="0" w:right="0" w:firstLine="576"/>
        <w:jc w:val="left"/>
      </w:pPr>
      <w:r>
        <w:rPr/>
        <w:t xml:space="preserve">(3) Any city or county not planning under RCW 36.70A.040 shall, not later than September 1, 2002, establish a process for siting secure community transition facilities and adopt or amend its development regulations as necessary to provide for the siting of such facilities consistent with statutory requirements applicable to these facilities.</w:t>
      </w:r>
    </w:p>
    <w:p>
      <w:pPr>
        <w:spacing w:before="0" w:after="0" w:line="408" w:lineRule="exact"/>
        <w:ind w:left="0" w:right="0" w:firstLine="576"/>
        <w:jc w:val="left"/>
      </w:pPr>
      <w:r>
        <w:rPr/>
        <w:t xml:space="preserve">(4) The office of financial management shall maintain a list of those essential state public facilities that are required or likely to be built within the next six years. The office of financial management may at any time add facilities to the list.</w:t>
      </w:r>
    </w:p>
    <w:p>
      <w:pPr>
        <w:spacing w:before="0" w:after="0" w:line="408" w:lineRule="exact"/>
        <w:ind w:left="0" w:right="0" w:firstLine="576"/>
        <w:jc w:val="left"/>
      </w:pPr>
      <w:r>
        <w:rPr/>
        <w:t xml:space="preserve">(5) No local comprehensive plan or development regulation may preclude the siting of essential public facilities.</w:t>
      </w:r>
    </w:p>
    <w:p>
      <w:pPr>
        <w:spacing w:before="0" w:after="0" w:line="408" w:lineRule="exact"/>
        <w:ind w:left="0" w:right="0" w:firstLine="576"/>
        <w:jc w:val="left"/>
      </w:pPr>
      <w:r>
        <w:rPr/>
        <w:t xml:space="preserve">(6) No person may bring a cause of action for civil damages based on the good faith actions of any county or city to provide for the siting of secure community transition facilities in accordance with this section and with the requirements of chapter 12, Laws of 2001 2nd sp. sess. For purposes of this subsection, "person" includes, but is not limited to, any individual, agency as defined in RCW 42.17A.005, corporation, partnership, association, and limited liability entity.</w:t>
      </w:r>
    </w:p>
    <w:p>
      <w:pPr>
        <w:spacing w:before="0" w:after="0" w:line="408" w:lineRule="exact"/>
        <w:ind w:left="0" w:right="0" w:firstLine="576"/>
        <w:jc w:val="left"/>
      </w:pPr>
      <w:r>
        <w:rPr/>
        <w:t xml:space="preserve">(7) Counties or cities siting facilities pursuant to subsection (2) or (3) of this section shall comply with RCW 71.09.341.</w:t>
      </w:r>
    </w:p>
    <w:p>
      <w:pPr>
        <w:spacing w:before="0" w:after="0" w:line="408" w:lineRule="exact"/>
        <w:ind w:left="0" w:right="0" w:firstLine="576"/>
        <w:jc w:val="left"/>
      </w:pPr>
      <w:r>
        <w:rPr/>
        <w:t xml:space="preserve">(8) The failure of a county or city to act by the deadlines established in subsections (2) and (3) of this section is not:</w:t>
      </w:r>
    </w:p>
    <w:p>
      <w:pPr>
        <w:spacing w:before="0" w:after="0" w:line="408" w:lineRule="exact"/>
        <w:ind w:left="0" w:right="0" w:firstLine="576"/>
        <w:jc w:val="left"/>
      </w:pPr>
      <w:r>
        <w:rPr/>
        <w:t xml:space="preserve">(a) A condition that would disqualify the county or city for grants, loans, or pledges under RCW 43.155.070 or 70A.135.070;</w:t>
      </w:r>
    </w:p>
    <w:p>
      <w:pPr>
        <w:spacing w:before="0" w:after="0" w:line="408" w:lineRule="exact"/>
        <w:ind w:left="0" w:right="0" w:firstLine="576"/>
        <w:jc w:val="left"/>
      </w:pPr>
      <w:r>
        <w:rPr/>
        <w:t xml:space="preserve">(b) A consideration for grants or loans provided under RCW 43.17.250(3); or</w:t>
      </w:r>
    </w:p>
    <w:p>
      <w:pPr>
        <w:spacing w:before="0" w:after="0" w:line="408" w:lineRule="exact"/>
        <w:ind w:left="0" w:right="0" w:firstLine="576"/>
        <w:jc w:val="left"/>
      </w:pPr>
      <w:r>
        <w:rPr/>
        <w:t xml:space="preserve">(c) A basis for any petition under RCW 36.70A.280 or for any private cause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590</w:t>
      </w:r>
      <w:r>
        <w:rPr/>
        <w:t xml:space="preserve"> and 2019 c 314 s 30 are each amended to read as follows:</w:t>
      </w:r>
    </w:p>
    <w:p>
      <w:pPr>
        <w:spacing w:before="0" w:after="0" w:line="408" w:lineRule="exact"/>
        <w:ind w:left="0" w:right="0" w:firstLine="576"/>
        <w:jc w:val="left"/>
      </w:pPr>
      <w:r>
        <w:rPr/>
        <w:t xml:space="preserve">(1) When making a decision on an application for licensing or certification of </w:t>
      </w:r>
      <w:r>
        <w:t>((</w:t>
      </w:r>
      <w:r>
        <w:rPr>
          <w:strike/>
        </w:rPr>
        <w:t xml:space="preserve">a</w:t>
      </w:r>
      <w:r>
        <w:t>))</w:t>
      </w:r>
      <w:r>
        <w:rPr/>
        <w:t xml:space="preserve"> </w:t>
      </w:r>
      <w:r>
        <w:rPr>
          <w:u w:val="single"/>
        </w:rPr>
        <w:t xml:space="preserve">an opioid treatment</w:t>
      </w:r>
      <w:r>
        <w:rPr/>
        <w:t xml:space="preserve"> program, the department shall:</w:t>
      </w:r>
    </w:p>
    <w:p>
      <w:pPr>
        <w:spacing w:before="0" w:after="0" w:line="408" w:lineRule="exact"/>
        <w:ind w:left="0" w:right="0" w:firstLine="576"/>
        <w:jc w:val="left"/>
      </w:pPr>
      <w:r>
        <w:rPr/>
        <w:t xml:space="preserve">(a) Consult with the county legislative authorities in the area in which an applicant proposes to locate a program and the city legislative authority in any city in which an applicant proposes to locate a program;</w:t>
      </w:r>
    </w:p>
    <w:p>
      <w:pPr>
        <w:spacing w:before="0" w:after="0" w:line="408" w:lineRule="exact"/>
        <w:ind w:left="0" w:right="0" w:firstLine="576"/>
        <w:jc w:val="left"/>
      </w:pPr>
      <w:r>
        <w:rPr/>
        <w:t xml:space="preserve">(b) License or certify only programs that will be sited in accordance with the appropriate county or city land use ordinances. Counties and cities may require conditional use permits with reasonable conditions for the siting of programs </w:t>
      </w:r>
      <w:r>
        <w:rPr>
          <w:u w:val="single"/>
        </w:rPr>
        <w:t xml:space="preserve">only to the extent that such reasonable conditional use requirements applied to opioid treatment programs are similarly applied to other essential public facilities and health care settings</w:t>
      </w:r>
      <w:r>
        <w:rPr/>
        <w:t xml:space="preserve">. Pursuant to RCW 36.70A.200, no local comprehensive plan or development regulation may preclude the siting of essential public facilities;</w:t>
      </w:r>
    </w:p>
    <w:p>
      <w:pPr>
        <w:spacing w:before="0" w:after="0" w:line="408" w:lineRule="exact"/>
        <w:ind w:left="0" w:right="0" w:firstLine="576"/>
        <w:jc w:val="left"/>
      </w:pPr>
      <w:r>
        <w:rPr/>
        <w:t xml:space="preserve">(c) Not discriminate in its licensing or certification decision on the basis of the corporate structure of the applicant;</w:t>
      </w:r>
    </w:p>
    <w:p>
      <w:pPr>
        <w:spacing w:before="0" w:after="0" w:line="408" w:lineRule="exact"/>
        <w:ind w:left="0" w:right="0" w:firstLine="576"/>
        <w:jc w:val="left"/>
      </w:pPr>
      <w:r>
        <w:rPr/>
        <w:t xml:space="preserve">(d) Consider the size of the population in need of treatment in the area in which the program would be located and license or certify only applicants whose programs meet the necessary treatment needs of that population;</w:t>
      </w:r>
    </w:p>
    <w:p>
      <w:pPr>
        <w:spacing w:before="0" w:after="0" w:line="408" w:lineRule="exact"/>
        <w:ind w:left="0" w:right="0" w:firstLine="576"/>
        <w:jc w:val="left"/>
      </w:pPr>
      <w:r>
        <w:rPr/>
        <w:t xml:space="preserve">(e) Consider the availability of other certified opioid treatment programs near the area in which the applicant proposes to locate the program;</w:t>
      </w:r>
    </w:p>
    <w:p>
      <w:pPr>
        <w:spacing w:before="0" w:after="0" w:line="408" w:lineRule="exact"/>
        <w:ind w:left="0" w:right="0" w:firstLine="576"/>
        <w:jc w:val="left"/>
      </w:pPr>
      <w:r>
        <w:rPr/>
        <w:t xml:space="preserve">(f) Consider the transportation systems that would provide service to the program and whether the systems will provide reasonable opportunities to access the program for persons in need of treatment;</w:t>
      </w:r>
    </w:p>
    <w:p>
      <w:pPr>
        <w:spacing w:before="0" w:after="0" w:line="408" w:lineRule="exact"/>
        <w:ind w:left="0" w:right="0" w:firstLine="576"/>
        <w:jc w:val="left"/>
      </w:pPr>
      <w:r>
        <w:rPr/>
        <w:t xml:space="preserve">(g) Consider whether the applicant has, or has demonstrated in the past, the capability to provide the appropriate services to assist the persons who utilize the program in meeting goals established by the legislature in RCW 71.24.585. The department shall prioritize licensing or certification to applicants who have demonstrated such capability and are able to measure their success in meeting such outcomes</w:t>
      </w:r>
      <w:r>
        <w:t>((</w:t>
      </w:r>
      <w:r>
        <w:rPr>
          <w:strike/>
        </w:rPr>
        <w:t xml:space="preserve">;</w:t>
      </w:r>
    </w:p>
    <w:p>
      <w:pPr>
        <w:spacing w:before="0" w:after="0" w:line="408" w:lineRule="exact"/>
        <w:ind w:left="0" w:right="0" w:firstLine="576"/>
        <w:jc w:val="left"/>
      </w:pPr>
      <w:r>
        <w:rPr>
          <w:strike/>
        </w:rPr>
        <w:t xml:space="preserve">(h) Hold one public hearing in the community in which the facility is proposed to be located. The hearing shall be held at a time and location that are most likely to permit the largest number of interested persons to attend and present testimony. The department shall notify all appropriate media outlets of the time, date, and location of the hearing at least three weeks in advance of the hearing</w:t>
      </w:r>
      <w:r>
        <w:t>))</w:t>
      </w:r>
      <w:r>
        <w:rPr/>
        <w:t xml:space="preserve">.</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No city or</w:t>
      </w:r>
      <w:r>
        <w:rPr/>
        <w:t xml:space="preserve"> county </w:t>
      </w:r>
      <w:r>
        <w:rPr>
          <w:u w:val="single"/>
        </w:rPr>
        <w:t xml:space="preserve">legislative authority</w:t>
      </w:r>
      <w:r>
        <w:rPr/>
        <w:t xml:space="preserve"> may impose a maximum capacity for </w:t>
      </w:r>
      <w:r>
        <w:t>((</w:t>
      </w:r>
      <w:r>
        <w:rPr>
          <w:strike/>
        </w:rPr>
        <w:t xml:space="preserve">a</w:t>
      </w:r>
      <w:r>
        <w:t>))</w:t>
      </w:r>
      <w:r>
        <w:rPr/>
        <w:t xml:space="preserve"> </w:t>
      </w:r>
      <w:r>
        <w:rPr>
          <w:u w:val="single"/>
        </w:rPr>
        <w:t xml:space="preserve">an opioid treatment</w:t>
      </w:r>
      <w:r>
        <w:rPr/>
        <w:t xml:space="preserve"> program </w:t>
      </w:r>
      <w:r>
        <w:t>((</w:t>
      </w:r>
      <w:r>
        <w:rPr>
          <w:strike/>
        </w:rPr>
        <w:t xml:space="preserve">of not less than three hundred fifty participants if necessary to address specific local conditions cited by the county</w:t>
      </w:r>
      <w:r>
        <w:t>))</w:t>
      </w:r>
      <w:r>
        <w:rPr/>
        <w:t xml:space="preserve">.</w:t>
      </w:r>
    </w:p>
    <w:p>
      <w:pPr>
        <w:spacing w:before="0" w:after="0" w:line="408" w:lineRule="exact"/>
        <w:ind w:left="0" w:right="0" w:firstLine="576"/>
        <w:jc w:val="left"/>
      </w:pPr>
      <w:r>
        <w:rPr/>
        <w:t xml:space="preserve">(3) A program applying for licensing or certification from the department and a program applying for a contract from a state agency that has been denied the licensing or certification or contract shall be provided with a written notice specifying the rationale and reasons for the denial.</w:t>
      </w:r>
    </w:p>
    <w:p>
      <w:pPr>
        <w:spacing w:before="0" w:after="0" w:line="408" w:lineRule="exact"/>
        <w:ind w:left="0" w:right="0" w:firstLine="576"/>
        <w:jc w:val="left"/>
      </w:pPr>
      <w:r>
        <w:rPr/>
        <w:t xml:space="preserve">(4) Opioid treatment programs may order, possess, dispense, and administer medications approved by the United States food and drug administration for the treatment of opioid use disorder, alcohol use disorder, tobacco use disorder, and reversal of opioid overdose. For an opioid treatment program to order, possess, and dispense any other legend drug, including controlled substances, the opioid treatment program must obtain additional licensure as required by the department, except for patient-owned medications.</w:t>
      </w:r>
    </w:p>
    <w:p>
      <w:pPr>
        <w:spacing w:before="0" w:after="0" w:line="408" w:lineRule="exact"/>
        <w:ind w:left="0" w:right="0" w:firstLine="576"/>
        <w:jc w:val="left"/>
      </w:pPr>
      <w:r>
        <w:rPr/>
        <w:t xml:space="preserve">(5) Opioid treatment programs may accept, possess, and administer patient-owned medications.</w:t>
      </w:r>
    </w:p>
    <w:p>
      <w:pPr>
        <w:spacing w:before="0" w:after="0" w:line="408" w:lineRule="exact"/>
        <w:ind w:left="0" w:right="0" w:firstLine="576"/>
        <w:jc w:val="left"/>
      </w:pPr>
      <w:r>
        <w:rPr/>
        <w:t xml:space="preserve">(6) Registered nurses and licensed practical nurses may dispense up to a </w:t>
      </w:r>
      <w:r>
        <w:t>((</w:t>
      </w:r>
      <w:r>
        <w:rPr>
          <w:strike/>
        </w:rPr>
        <w:t xml:space="preserve">thirty-one</w:t>
      </w:r>
      <w:r>
        <w:t>))</w:t>
      </w:r>
      <w:r>
        <w:rPr/>
        <w:t xml:space="preserve"> </w:t>
      </w:r>
      <w:r>
        <w:rPr>
          <w:u w:val="single"/>
        </w:rPr>
        <w:t xml:space="preserve">31</w:t>
      </w:r>
      <w:r>
        <w:rPr/>
        <w:t xml:space="preserve"> day supply of medications approved by the United States food and drug administration for the treatment of opioid use disorder to patients of the opioid treatment program, under an order or prescription and in compliance with 42 C.F.R. Sec. 8.12.</w:t>
      </w:r>
    </w:p>
    <w:p>
      <w:pPr>
        <w:spacing w:before="0" w:after="0" w:line="408" w:lineRule="exact"/>
        <w:ind w:left="0" w:right="0" w:firstLine="576"/>
        <w:jc w:val="left"/>
      </w:pPr>
      <w:r>
        <w:rPr/>
        <w:t xml:space="preserve">(7) For the purpose of this chapter, "opioid treatment program" means a program that:</w:t>
      </w:r>
    </w:p>
    <w:p>
      <w:pPr>
        <w:spacing w:before="0" w:after="0" w:line="408" w:lineRule="exact"/>
        <w:ind w:left="0" w:right="0" w:firstLine="576"/>
        <w:jc w:val="left"/>
      </w:pPr>
      <w:r>
        <w:rPr/>
        <w:t xml:space="preserve">(a) Engages in the treatment of opioid use disorder with medications approved by the United States food and drug administration for the treatment of opioid use disorder and reversal of opioid overdose; </w:t>
      </w:r>
      <w:r>
        <w:t>((</w:t>
      </w:r>
      <w:r>
        <w:rPr>
          <w:strike/>
        </w:rPr>
        <w:t xml:space="preserve">and</w:t>
      </w:r>
      <w:r>
        <w:t>))</w:t>
      </w:r>
    </w:p>
    <w:p>
      <w:pPr>
        <w:spacing w:before="0" w:after="0" w:line="408" w:lineRule="exact"/>
        <w:ind w:left="0" w:right="0" w:firstLine="576"/>
        <w:jc w:val="left"/>
      </w:pPr>
      <w:r>
        <w:rPr/>
        <w:t xml:space="preserve">(b) </w:t>
      </w:r>
      <w:r>
        <w:rPr>
          <w:u w:val="single"/>
        </w:rPr>
        <w:t xml:space="preserve">Is either a mobile or fixed-site medication unit; and</w:t>
      </w:r>
    </w:p>
    <w:p>
      <w:pPr>
        <w:spacing w:before="0" w:after="0" w:line="408" w:lineRule="exact"/>
        <w:ind w:left="0" w:right="0" w:firstLine="576"/>
        <w:jc w:val="left"/>
      </w:pPr>
      <w:r>
        <w:rPr>
          <w:u w:val="single"/>
        </w:rPr>
        <w:t xml:space="preserve">(c)</w:t>
      </w:r>
      <w:r>
        <w:rPr/>
        <w:t xml:space="preserve"> Provides a comprehensive range of medical and rehabilitative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funds appropriated for this specific purpose, a program is established in the department to fund the construction costs necessary to start up substance use disorder treatment programs in regions of the state that currently lack access to such programs.</w:t>
      </w:r>
    </w:p>
    <w:p>
      <w:pPr>
        <w:spacing w:before="0" w:after="0" w:line="408" w:lineRule="exact"/>
        <w:ind w:left="0" w:right="0" w:firstLine="576"/>
        <w:jc w:val="left"/>
      </w:pPr>
      <w:r>
        <w:rPr/>
        <w:t xml:space="preserve">(2) This funding must be used to increase the number of substance use disorder treatment programs in underserved areas such as central and eastern Washington and rural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115</w:t>
      </w:r>
      <w:r>
        <w:rPr/>
        <w:t xml:space="preserve"> (Drug possession</w:t>
      </w:r>
      <w:r>
        <w:rPr>
          <w:rFonts w:ascii="Times New Roman" w:hAnsi="Times New Roman"/>
        </w:rPr>
        <w:t xml:space="preserve">—</w:t>
      </w:r>
      <w:r>
        <w:rPr/>
        <w:t xml:space="preserve">Referral to assessment and services) and 2021 c 311 s 13 are each repealed.</w:t>
      </w:r>
    </w:p>
    <w:p>
      <w:pPr>
        <w:spacing w:before="240" w:after="0" w:line="408" w:lineRule="exact"/>
        <w:ind w:left="0" w:right="0" w:firstLine="576"/>
        <w:jc w:val="center"/>
      </w:pPr>
      <w:r>
        <w:rPr>
          <w:b/>
        </w:rPr>
        <w:t xml:space="preserve">Part V – Providing Legal Advocacy for Parents and Families Affected by Substance Use Disorders in Dependency and Child Custody Cases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In any parenting plan or child custody proceeding in which the court determines that a child's parent, guardian, or custodian is affected by substance use disorders, mental health disorders, or behavioral health concerns such that it leaves the parent, guardian, or custodian unable to adequately represent his or her own interests or his or her parental rights may be restricted, either by way of long-term supervision or limited contact with the child, the parent, guardian, or custodian may have the right to court-appointed counsel. In determining whether to appoint counsel, the court must consider the financial ability of the parties, the degree such disorder impacts the ability of the parent, guardian, or custodian to understand the proceedings and represent their own interests, and any professional assessment or evaluation or any other evidence submitted to the court on the parent, guardian, or custodian's behalf.</w:t>
      </w:r>
    </w:p>
    <w:p>
      <w:pPr>
        <w:spacing w:before="0" w:after="0" w:line="408" w:lineRule="exact"/>
        <w:ind w:left="0" w:right="0" w:firstLine="576"/>
        <w:jc w:val="left"/>
      </w:pPr>
      <w:r>
        <w:rPr/>
        <w:t xml:space="preserve">(2) The court may, in its discretion, appoint counsel for the child or a guardian ad litem as set forth in RCW 26.09.110 and 26.09.220.</w:t>
      </w:r>
    </w:p>
    <w:p>
      <w:pPr>
        <w:spacing w:before="240" w:after="0" w:line="408" w:lineRule="exact"/>
        <w:ind w:left="0" w:right="0" w:firstLine="576"/>
        <w:jc w:val="center"/>
      </w:pPr>
      <w:r>
        <w:rPr>
          <w:b/>
        </w:rPr>
        <w:t xml:space="preserve">Part VI – Funding, Promotion, and Training for Recovery Residences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Subject to the availability of amounts provided for this specific purpose, the authority shall:</w:t>
      </w:r>
    </w:p>
    <w:p>
      <w:pPr>
        <w:spacing w:before="0" w:after="0" w:line="408" w:lineRule="exact"/>
        <w:ind w:left="0" w:right="0" w:firstLine="576"/>
        <w:jc w:val="left"/>
      </w:pPr>
      <w:r>
        <w:rPr/>
        <w:t xml:space="preserve">(1) Make sufficient funding available to support establishment of an adequate and equitable stock of recovery residences in each region of the state, including by expansion of a revolving fund program to make loans or grants available for recovery residence operators to use for necessary capital expenses;</w:t>
      </w:r>
    </w:p>
    <w:p>
      <w:pPr>
        <w:spacing w:before="0" w:after="0" w:line="408" w:lineRule="exact"/>
        <w:ind w:left="0" w:right="0" w:firstLine="576"/>
        <w:jc w:val="left"/>
      </w:pPr>
      <w:r>
        <w:rPr/>
        <w:t xml:space="preserve">(2) Establish a voucher program to allow accredited recovery housing operators to hold bed space for individuals who are waiting for treatment or who have returned to use and need a place to stay while negotiating a return to stable housing;</w:t>
      </w:r>
    </w:p>
    <w:p>
      <w:pPr>
        <w:spacing w:before="0" w:after="0" w:line="408" w:lineRule="exact"/>
        <w:ind w:left="0" w:right="0" w:firstLine="576"/>
        <w:jc w:val="left"/>
      </w:pPr>
      <w:r>
        <w:rPr/>
        <w:t xml:space="preserve">(3) Conduct outreach to underserved and rural areas to support the development of recovery housing, including adequate resources for women, LGBTQIA+ communities, and youth; and</w:t>
      </w:r>
    </w:p>
    <w:p>
      <w:pPr>
        <w:spacing w:before="0" w:after="0" w:line="408" w:lineRule="exact"/>
        <w:ind w:left="0" w:right="0" w:firstLine="576"/>
        <w:jc w:val="left"/>
      </w:pPr>
      <w:r>
        <w:rPr/>
        <w:t xml:space="preserve">(4) Develop a training for housing providers by January 1, 2024, to assist them with providing appropriate service to LGBTQIA+ communities, including consideration of topics like harassment, communication, antiracism, diversity, and gender affirming behavior, and ensure applicants for grants or loans related to recovery residences receive access to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043</w:t>
      </w:r>
      <w:r>
        <w:rPr/>
        <w:t xml:space="preserve"> and 1998 c 174 s 1 are each amended to read as follows:</w:t>
      </w:r>
    </w:p>
    <w:p>
      <w:pPr>
        <w:spacing w:before="0" w:after="0" w:line="408" w:lineRule="exact"/>
        <w:ind w:left="0" w:right="0" w:firstLine="576"/>
        <w:jc w:val="left"/>
      </w:pPr>
      <w:r>
        <w:rPr/>
        <w:t xml:space="preserve">(1) The real and personal property used by a nonprofit organization in providing emergency or transitional housing for low-income homeless persons as defined in RCW 35.21.685 or 36.32.415 or victims of domestic violence who are homeless for personal safety reasons is exempt from taxation if:</w:t>
      </w:r>
    </w:p>
    <w:p>
      <w:pPr>
        <w:spacing w:before="0" w:after="0" w:line="408" w:lineRule="exact"/>
        <w:ind w:left="0" w:right="0" w:firstLine="576"/>
        <w:jc w:val="left"/>
      </w:pPr>
      <w:r>
        <w:rPr/>
        <w:t xml:space="preserve">(a) The charge, if any, for the housing does not exceed the actual cost of operating and maintaining the housing; and</w:t>
      </w:r>
    </w:p>
    <w:p>
      <w:pPr>
        <w:spacing w:before="0" w:after="0" w:line="408" w:lineRule="exact"/>
        <w:ind w:left="0" w:right="0" w:firstLine="576"/>
        <w:jc w:val="left"/>
      </w:pPr>
      <w:r>
        <w:rPr/>
        <w:t xml:space="preserve">(b)(i) The property is owned by the nonprofit organization; or</w:t>
      </w:r>
    </w:p>
    <w:p>
      <w:pPr>
        <w:spacing w:before="0" w:after="0" w:line="408" w:lineRule="exact"/>
        <w:ind w:left="0" w:right="0" w:firstLine="576"/>
        <w:jc w:val="left"/>
      </w:pPr>
      <w:r>
        <w:rPr/>
        <w:t xml:space="preserve">(ii) The property is rented or leased by the nonprofit organization and the benefit of the exemption inures to the nonprofit organization.</w:t>
      </w:r>
    </w:p>
    <w:p>
      <w:pPr>
        <w:spacing w:before="0" w:after="0" w:line="408" w:lineRule="exact"/>
        <w:ind w:left="0" w:right="0" w:firstLine="576"/>
        <w:jc w:val="left"/>
      </w:pPr>
      <w:r>
        <w:rPr/>
        <w:t xml:space="preserve">(2) </w:t>
      </w:r>
      <w:r>
        <w:rPr>
          <w:u w:val="single"/>
        </w:rPr>
        <w:t xml:space="preserve">The real and personal property used by a nonprofit organization in maintaining an approved recovery residence registered under RCW 41.05.760 is exempt from taxation if:</w:t>
      </w:r>
    </w:p>
    <w:p>
      <w:pPr>
        <w:spacing w:before="0" w:after="0" w:line="408" w:lineRule="exact"/>
        <w:ind w:left="0" w:right="0" w:firstLine="576"/>
        <w:jc w:val="left"/>
      </w:pPr>
      <w:r>
        <w:rPr>
          <w:u w:val="single"/>
        </w:rPr>
        <w:t xml:space="preserve">(a) The charge for the housing does not exceed the actual cost of operating and maintaining the housing; and</w:t>
      </w:r>
    </w:p>
    <w:p>
      <w:pPr>
        <w:spacing w:before="0" w:after="0" w:line="408" w:lineRule="exact"/>
        <w:ind w:left="0" w:right="0" w:firstLine="576"/>
        <w:jc w:val="left"/>
      </w:pPr>
      <w:r>
        <w:rPr>
          <w:u w:val="single"/>
        </w:rPr>
        <w:t xml:space="preserve">(b)(i) The property is owned by the nonprofit organization; or</w:t>
      </w:r>
    </w:p>
    <w:p>
      <w:pPr>
        <w:spacing w:before="0" w:after="0" w:line="408" w:lineRule="exact"/>
        <w:ind w:left="0" w:right="0" w:firstLine="576"/>
        <w:jc w:val="left"/>
      </w:pPr>
      <w:r>
        <w:rPr>
          <w:u w:val="single"/>
        </w:rPr>
        <w:t xml:space="preserve">(ii) The property is rented or leased by the nonprofit organization and the benefit of the exemption inures to the nonprofit organization.</w:t>
      </w:r>
    </w:p>
    <w:p>
      <w:pPr>
        <w:spacing w:before="0" w:after="0" w:line="408" w:lineRule="exact"/>
        <w:ind w:left="0" w:right="0" w:firstLine="576"/>
        <w:jc w:val="left"/>
      </w:pPr>
      <w:r>
        <w:rPr>
          <w:u w:val="single"/>
        </w:rPr>
        <w:t xml:space="preserve">(3)</w:t>
      </w:r>
      <w:r>
        <w:rPr/>
        <w:t xml:space="preserve"> As used in this section:</w:t>
      </w:r>
    </w:p>
    <w:p>
      <w:pPr>
        <w:spacing w:before="0" w:after="0" w:line="408" w:lineRule="exact"/>
        <w:ind w:left="0" w:right="0" w:firstLine="576"/>
        <w:jc w:val="left"/>
      </w:pPr>
      <w:r>
        <w:rPr/>
        <w:t xml:space="preserve">(a) "Homeless" means persons, including families, who, on one particular day or night, do not have decent and safe shelter nor sufficient funds to purchase or rent a place to stay.</w:t>
      </w:r>
    </w:p>
    <w:p>
      <w:pPr>
        <w:spacing w:before="0" w:after="0" w:line="408" w:lineRule="exact"/>
        <w:ind w:left="0" w:right="0" w:firstLine="576"/>
        <w:jc w:val="left"/>
      </w:pPr>
      <w:r>
        <w:rPr/>
        <w:t xml:space="preserve">(b) "Emergency housing" means a project that provides housing and supportive services to homeless persons or families for up to sixty days.</w:t>
      </w:r>
    </w:p>
    <w:p>
      <w:pPr>
        <w:spacing w:before="0" w:after="0" w:line="408" w:lineRule="exact"/>
        <w:ind w:left="0" w:right="0" w:firstLine="576"/>
        <w:jc w:val="left"/>
      </w:pPr>
      <w:r>
        <w:rPr/>
        <w:t xml:space="preserve">(c) "Transitional housing" means a project that provides housing and supportive services to homeless persons or families for up to two years and that has as its purpose facilitating the movement of homeless persons and families into independent living.</w:t>
      </w:r>
    </w:p>
    <w:p>
      <w:pPr>
        <w:spacing w:before="0" w:after="0" w:line="408" w:lineRule="exact"/>
        <w:ind w:left="0" w:right="0" w:firstLine="576"/>
        <w:jc w:val="left"/>
      </w:pPr>
      <w:r>
        <w:t>((</w:t>
      </w:r>
      <w:r>
        <w:rPr>
          <w:strike/>
        </w:rPr>
        <w:t xml:space="preserve">(3)</w:t>
      </w:r>
      <w:r>
        <w:t>))</w:t>
      </w:r>
      <w:r>
        <w:rPr/>
        <w:t xml:space="preserve"> </w:t>
      </w:r>
      <w:r>
        <w:rPr>
          <w:u w:val="single"/>
        </w:rPr>
        <w:t xml:space="preserve">(d) "Recovery residence" has the same meaning as under RCW 41.05.760.</w:t>
      </w:r>
    </w:p>
    <w:p>
      <w:pPr>
        <w:spacing w:before="0" w:after="0" w:line="408" w:lineRule="exact"/>
        <w:ind w:left="0" w:right="0" w:firstLine="576"/>
        <w:jc w:val="left"/>
      </w:pPr>
      <w:r>
        <w:rPr>
          <w:u w:val="single"/>
        </w:rPr>
        <w:t xml:space="preserve">(4) The exemption in subsection (2) of this section applies to taxes levied for collection in calendar years 2024 through 2033.</w:t>
      </w:r>
    </w:p>
    <w:p>
      <w:pPr>
        <w:spacing w:before="0" w:after="0" w:line="408" w:lineRule="exact"/>
        <w:ind w:left="0" w:right="0" w:firstLine="576"/>
        <w:jc w:val="left"/>
      </w:pPr>
      <w:r>
        <w:rPr>
          <w:u w:val="single"/>
        </w:rPr>
        <w:t xml:space="preserve">(5)</w:t>
      </w:r>
      <w:r>
        <w:rPr/>
        <w:t xml:space="preserve"> This exemption is subject to the administrative provisions contained in RCW 84.36.800 through 84.36.865.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17, chapter . . ., Laws of 2023 (section 17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By exempting property used by nonprofit organizations maintaining approved recovery residences, it is the legislature's specific public policy objective to maximize funding for recovery residences to the extent possible, thereby increasing availability of such residences.</w:t>
      </w:r>
    </w:p>
    <w:p>
      <w:pPr>
        <w:spacing w:before="0" w:after="0" w:line="408" w:lineRule="exact"/>
        <w:ind w:left="0" w:right="0" w:firstLine="576"/>
        <w:jc w:val="left"/>
      </w:pPr>
      <w:r>
        <w:rPr/>
        <w:t xml:space="preserve">(4) To measure the effectiveness of the tax exemption provided in section 17 of this act in achieving the specific public policy objectives described in subsection (3) of this section, the joint legislative audit and review committee must evaluate:</w:t>
      </w:r>
    </w:p>
    <w:p>
      <w:pPr>
        <w:spacing w:before="0" w:after="0" w:line="408" w:lineRule="exact"/>
        <w:ind w:left="0" w:right="0" w:firstLine="576"/>
        <w:jc w:val="left"/>
      </w:pPr>
      <w:r>
        <w:rPr/>
        <w:t xml:space="preserve">(a) Annual changes in the total number of parcels qualifying for the exemption under section 17 of this act;</w:t>
      </w:r>
    </w:p>
    <w:p>
      <w:pPr>
        <w:spacing w:before="0" w:after="0" w:line="408" w:lineRule="exact"/>
        <w:ind w:left="0" w:right="0" w:firstLine="576"/>
        <w:jc w:val="left"/>
      </w:pPr>
      <w:r>
        <w:rPr/>
        <w:t xml:space="preserve">(b) The amount of annual property tax relief resulting from the tax exemption under section 17 of this act;</w:t>
      </w:r>
    </w:p>
    <w:p>
      <w:pPr>
        <w:spacing w:before="0" w:after="0" w:line="408" w:lineRule="exact"/>
        <w:ind w:left="0" w:right="0" w:firstLine="576"/>
        <w:jc w:val="left"/>
      </w:pPr>
      <w:r>
        <w:rPr/>
        <w:t xml:space="preserve">(c) The average annual number of people housed at recovery residences located on property qualifying for the exemption under section 17 of this act;</w:t>
      </w:r>
    </w:p>
    <w:p>
      <w:pPr>
        <w:spacing w:before="0" w:after="0" w:line="408" w:lineRule="exact"/>
        <w:ind w:left="0" w:right="0" w:firstLine="576"/>
        <w:jc w:val="left"/>
      </w:pPr>
      <w:r>
        <w:rPr/>
        <w:t xml:space="preserve">(d) The annualized amount charged for housing at recovery residences located on property qualifying for the exemption under section 17 of this act and the annualized estimated increase in the charge for housing if the properties had not been eligible for the exemption; and</w:t>
      </w:r>
    </w:p>
    <w:p>
      <w:pPr>
        <w:spacing w:before="0" w:after="0" w:line="408" w:lineRule="exact"/>
        <w:ind w:left="0" w:right="0" w:firstLine="576"/>
        <w:jc w:val="left"/>
      </w:pPr>
      <w:r>
        <w:rPr/>
        <w:t xml:space="preserve">(e) The annual amount of expenditures by nonprofits to maintain recovery residences located on property qualifying for the exemption under section 17 of this act.</w:t>
      </w:r>
    </w:p>
    <w:p>
      <w:pPr>
        <w:spacing w:before="0" w:after="0" w:line="408" w:lineRule="exact"/>
        <w:ind w:left="0" w:right="0" w:firstLine="576"/>
        <w:jc w:val="left"/>
      </w:pPr>
      <w:r>
        <w:rPr/>
        <w:t xml:space="preserve">(5) The legislature intends to extend the expiration date of the property tax exemption under section 17 of this act if the review by the joint legislative audit and review committee finds that:</w:t>
      </w:r>
    </w:p>
    <w:p>
      <w:pPr>
        <w:spacing w:before="0" w:after="0" w:line="408" w:lineRule="exact"/>
        <w:ind w:left="0" w:right="0" w:firstLine="576"/>
        <w:jc w:val="left"/>
      </w:pPr>
      <w:r>
        <w:rPr/>
        <w:t xml:space="preserve">(a) The number of properties qualifying for the exemption under section 17 of this act has increased;</w:t>
      </w:r>
    </w:p>
    <w:p>
      <w:pPr>
        <w:spacing w:before="0" w:after="0" w:line="408" w:lineRule="exact"/>
        <w:ind w:left="0" w:right="0" w:firstLine="576"/>
        <w:jc w:val="left"/>
      </w:pPr>
      <w:r>
        <w:rPr/>
        <w:t xml:space="preserve">(b) The number of individuals using recovery housing located on property qualifying for the exemption under section 17 of this act has increased; and</w:t>
      </w:r>
    </w:p>
    <w:p>
      <w:pPr>
        <w:spacing w:before="0" w:after="0" w:line="408" w:lineRule="exact"/>
        <w:ind w:left="0" w:right="0" w:firstLine="576"/>
        <w:jc w:val="left"/>
      </w:pPr>
      <w:r>
        <w:rPr/>
        <w:t xml:space="preserve">(c) The amount charged for recovery housing is reasonably consistent with the actual cost of operating and maintaining the housing.</w:t>
      </w:r>
    </w:p>
    <w:p>
      <w:pPr>
        <w:spacing w:before="0" w:after="0" w:line="408" w:lineRule="exact"/>
        <w:ind w:left="0" w:right="0" w:firstLine="576"/>
        <w:jc w:val="left"/>
      </w:pPr>
      <w:r>
        <w:rPr/>
        <w:t xml:space="preserve">(6) In order to obtain the data necessary to perform the review in subsection (4) of this section, the joint legislative audit and review committee may refer to:</w:t>
      </w:r>
    </w:p>
    <w:p>
      <w:pPr>
        <w:spacing w:before="0" w:after="0" w:line="408" w:lineRule="exact"/>
        <w:ind w:left="0" w:right="0" w:firstLine="576"/>
        <w:jc w:val="left"/>
      </w:pPr>
      <w:r>
        <w:rPr/>
        <w:t xml:space="preserve">(a) Initial applications for the tax exemption under section 17 of this act as approved by the department of revenue under RCW 84.36.815;</w:t>
      </w:r>
    </w:p>
    <w:p>
      <w:pPr>
        <w:spacing w:before="0" w:after="0" w:line="408" w:lineRule="exact"/>
        <w:ind w:left="0" w:right="0" w:firstLine="576"/>
        <w:jc w:val="left"/>
      </w:pPr>
      <w:r>
        <w:rPr/>
        <w:t xml:space="preserve">(b) Annual financial statements prepared by nonprofit entities claiming the tax exemption under section 17 of this act;</w:t>
      </w:r>
    </w:p>
    <w:p>
      <w:pPr>
        <w:spacing w:before="0" w:after="0" w:line="408" w:lineRule="exact"/>
        <w:ind w:left="0" w:right="0" w:firstLine="576"/>
        <w:jc w:val="left"/>
      </w:pPr>
      <w:r>
        <w:rPr/>
        <w:t xml:space="preserve">(c) Filings with the federal government to maintain federal tax exempt status by nonprofit organizations claiming the tax exemption under section 17 of this act; and</w:t>
      </w:r>
    </w:p>
    <w:p>
      <w:pPr>
        <w:spacing w:before="0" w:after="0" w:line="408" w:lineRule="exact"/>
        <w:ind w:left="0" w:right="0" w:firstLine="576"/>
        <w:jc w:val="left"/>
      </w:pPr>
      <w:r>
        <w:rPr/>
        <w:t xml:space="preserve">(d) Any other data necessary for the evaluation under subsection (4) of this section.</w:t>
      </w:r>
    </w:p>
    <w:p>
      <w:pPr>
        <w:spacing w:before="240" w:after="0" w:line="408" w:lineRule="exact"/>
        <w:ind w:left="0" w:right="0" w:firstLine="576"/>
        <w:jc w:val="center"/>
      </w:pPr>
      <w:r>
        <w:rPr>
          <w:b/>
        </w:rPr>
        <w:t xml:space="preserve">Part VII </w:t>
      </w:r>
      <w:r>
        <w:rPr>
          <w:rFonts w:ascii="Times New Roman" w:hAnsi="Times New Roman"/>
          <w:b/>
        </w:rPr>
        <w:t xml:space="preserve">–</w:t>
      </w:r>
      <w:r>
        <w:rPr>
          <w:b/>
        </w:rPr>
        <w:t xml:space="preserve"> Training for Parents of Children with Substance Use Disorder and Caseworkers Within the Department of Children, Youth, and Families</w:t>
      </w:r>
    </w:p>
    <w:p>
      <w:pPr>
        <w:spacing w:before="0" w:after="0" w:line="408" w:lineRule="exact"/>
        <w:ind w:left="0" w:right="0" w:firstLine="576"/>
        <w:jc w:val="center"/>
      </w:pP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health care authority in consultation with the department shall develop a training for parents of children and transition age youth with substance use disorders by June 30, 2024, addressing the following:</w:t>
      </w:r>
    </w:p>
    <w:p>
      <w:pPr>
        <w:spacing w:before="0" w:after="0" w:line="408" w:lineRule="exact"/>
        <w:ind w:left="0" w:right="0" w:firstLine="576"/>
        <w:jc w:val="left"/>
      </w:pPr>
      <w:r>
        <w:rPr/>
        <w:t xml:space="preserve">(a) Science and education related to substance use disorders;</w:t>
      </w:r>
    </w:p>
    <w:p>
      <w:pPr>
        <w:spacing w:before="0" w:after="0" w:line="408" w:lineRule="exact"/>
        <w:ind w:left="0" w:right="0" w:firstLine="576"/>
        <w:jc w:val="left"/>
      </w:pPr>
      <w:r>
        <w:rPr/>
        <w:t xml:space="preserve">(b) Adaptive and functional communication strategies for communication with a loved one about their substance use disorder, including positive communication skills and strategies to influence motivation and behavioral change;</w:t>
      </w:r>
    </w:p>
    <w:p>
      <w:pPr>
        <w:spacing w:before="0" w:after="0" w:line="408" w:lineRule="exact"/>
        <w:ind w:left="0" w:right="0" w:firstLine="576"/>
        <w:jc w:val="left"/>
      </w:pPr>
      <w:r>
        <w:rPr/>
        <w:t xml:space="preserve">(c) Self-care and means of obtaining support; and</w:t>
      </w:r>
    </w:p>
    <w:p>
      <w:pPr>
        <w:spacing w:before="0" w:after="0" w:line="408" w:lineRule="exact"/>
        <w:ind w:left="0" w:right="0" w:firstLine="576"/>
        <w:jc w:val="left"/>
      </w:pPr>
      <w:r>
        <w:rPr/>
        <w:t xml:space="preserve">(d) Means to obtain opioid overdose reversal medication when appropriate and instruction on proper use.</w:t>
      </w:r>
    </w:p>
    <w:p>
      <w:pPr>
        <w:spacing w:before="0" w:after="0" w:line="408" w:lineRule="exact"/>
        <w:ind w:left="0" w:right="0" w:firstLine="576"/>
        <w:jc w:val="left"/>
      </w:pPr>
      <w:r>
        <w:rPr/>
        <w:t xml:space="preserve">(2) The health care authority and the department shall make this training publicly available and the department must promote the training to licensed foster parents.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The department must make opioid overdose reversal medication available for use by caseworkers or employees that may come in contact with individuals experiencing overdose and must make appropriate training available.</w:t>
      </w:r>
    </w:p>
    <w:p>
      <w:pPr>
        <w:spacing w:before="240" w:after="0" w:line="408" w:lineRule="exact"/>
        <w:ind w:left="0" w:right="0" w:firstLine="576"/>
        <w:jc w:val="center"/>
      </w:pPr>
      <w:r>
        <w:rPr>
          <w:b/>
        </w:rPr>
        <w:t xml:space="preserve">Part VIII – Data Support for Recovery Navigator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support recovery navigator programs, the health care authority must develop and implement a data integration platform by June 30, 2024, to serve as a common database for diversion efforts across the state, to serve as a data collection and management tool for practitioners, and to assist in standardizing definitions and practices. If possible, the health care authority must leverage and interact with existing platforms already in use in efforts funded by the authority. The health care authority must establish a quality assurance process for behavioral health administrative services organizations, and employ data validation for fields in the data collection workbook.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shall contract with the Washington state institute for public policy to conduct a study of the long-term effectiveness of the recovery navigator program under RCW 71.24.115 with reports due by June 30th in the years 2028, 2033, and 2038. The Washington state institute for public policy shall collaborate with the authority and substance use recovery services advisory committee under RCW 71.24.546 on the topic of data collection and to determine the parameters of the report, which shall include recommendations, if any, for modification and improvement of the recovery navigator program. The authority shall cooperate with the Washington state institute for public policy to provide data for this report.</w:t>
      </w:r>
    </w:p>
    <w:p>
      <w:pPr>
        <w:spacing w:before="0" w:after="0" w:line="408" w:lineRule="exact"/>
        <w:ind w:left="0" w:right="0" w:firstLine="576"/>
        <w:jc w:val="left"/>
      </w:pPr>
      <w:r>
        <w:rPr/>
        <w:t xml:space="preserve">(2) The authority shall establish an expedited preapproval process by August 1, 2023, which allows requests for the use of data to be forwarded to the Washington state institutional review board without delay when the request is made by the Washington state institute for public policy for the purpose of completing a study that has been directed by the legislature.</w:t>
      </w:r>
    </w:p>
    <w:p>
      <w:pPr>
        <w:spacing w:before="240" w:after="0" w:line="408" w:lineRule="exact"/>
        <w:ind w:left="0" w:right="0" w:firstLine="576"/>
        <w:jc w:val="center"/>
      </w:pPr>
      <w:r>
        <w:rPr>
          <w:b/>
        </w:rPr>
        <w:t xml:space="preserve">Part IX – Establishing Rules and Payment Structures for Health Engagement Hubs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shall develop licensure standards and payment structures for health engagement hubs by January 1, 2024.</w:t>
      </w:r>
    </w:p>
    <w:p>
      <w:pPr>
        <w:spacing w:before="0" w:after="0" w:line="408" w:lineRule="exact"/>
        <w:ind w:left="0" w:right="0" w:firstLine="576"/>
        <w:jc w:val="left"/>
      </w:pPr>
      <w:r>
        <w:rPr/>
        <w:t xml:space="preserve">(2) The department shall include invited stakeholders in the rule-making process which shall include, but not be limited to, individuals from geographic regions in Washington with lower population density, eastern Washington, rural areas, and tribal nations.</w:t>
      </w:r>
    </w:p>
    <w:p>
      <w:pPr>
        <w:spacing w:before="0" w:after="0" w:line="408" w:lineRule="exact"/>
        <w:ind w:left="0" w:right="0" w:firstLine="576"/>
        <w:jc w:val="left"/>
      </w:pPr>
      <w:r>
        <w:rPr/>
        <w:t xml:space="preserve">(3) A health engagement hub:</w:t>
      </w:r>
    </w:p>
    <w:p>
      <w:pPr>
        <w:spacing w:before="0" w:after="0" w:line="408" w:lineRule="exact"/>
        <w:ind w:left="0" w:right="0" w:firstLine="576"/>
        <w:jc w:val="left"/>
      </w:pPr>
      <w:r>
        <w:rPr/>
        <w:t xml:space="preserve">(a) May be a mobile or fixed-site opioid treatment program medication unit. Fixed-site medication units may operate at sites such as hospitals, federally qualified health centers, syringe service programs, community mental health facilities, skilled nursing facilities, or other settings frequented by people who have not historically been well-served by the behavioral health treatment system;</w:t>
      </w:r>
    </w:p>
    <w:p>
      <w:pPr>
        <w:spacing w:before="0" w:after="0" w:line="408" w:lineRule="exact"/>
        <w:ind w:left="0" w:right="0" w:firstLine="576"/>
        <w:jc w:val="left"/>
      </w:pPr>
      <w:r>
        <w:rPr/>
        <w:t xml:space="preserve">(b) Provides access to methadone and other medications for opioid addiction;</w:t>
      </w:r>
    </w:p>
    <w:p>
      <w:pPr>
        <w:spacing w:before="0" w:after="0" w:line="408" w:lineRule="exact"/>
        <w:ind w:left="0" w:right="0" w:firstLine="576"/>
        <w:jc w:val="left"/>
      </w:pPr>
      <w:r>
        <w:rPr/>
        <w:t xml:space="preserve">(c) Functions as a patient-centered medical home by offering high-quality, cost-effective patient-centered care, including wound care;</w:t>
      </w:r>
    </w:p>
    <w:p>
      <w:pPr>
        <w:spacing w:before="0" w:after="0" w:line="408" w:lineRule="exact"/>
        <w:ind w:left="0" w:right="0" w:firstLine="576"/>
        <w:jc w:val="left"/>
      </w:pPr>
      <w:r>
        <w:rPr/>
        <w:t xml:space="preserve">(d) Provides harm reduction services and supplies;</w:t>
      </w:r>
    </w:p>
    <w:p>
      <w:pPr>
        <w:spacing w:before="0" w:after="0" w:line="408" w:lineRule="exact"/>
        <w:ind w:left="0" w:right="0" w:firstLine="576"/>
        <w:jc w:val="left"/>
      </w:pPr>
      <w:r>
        <w:rPr/>
        <w:t xml:space="preserve">(e) Provides linkage to housing, transportation, and other support services; and</w:t>
      </w:r>
    </w:p>
    <w:p>
      <w:pPr>
        <w:spacing w:before="0" w:after="0" w:line="408" w:lineRule="exact"/>
        <w:ind w:left="0" w:right="0" w:firstLine="576"/>
        <w:jc w:val="left"/>
      </w:pPr>
      <w:r>
        <w:rPr/>
        <w:t xml:space="preserve">(f) Is open to youth as well as adults.</w:t>
      </w:r>
    </w:p>
    <w:p>
      <w:pPr>
        <w:spacing w:before="0" w:after="0" w:line="408" w:lineRule="exact"/>
        <w:ind w:left="0" w:right="0" w:firstLine="576"/>
        <w:jc w:val="left"/>
      </w:pPr>
      <w:r>
        <w:rPr/>
        <w:t xml:space="preserve">(4) To the extent allowed under federal law, the authority shall direct medicaid managed care organizations to adopt a value-based bundled payment methodology in contracts with health engagement hubs and other opioid treatment providers.</w:t>
      </w:r>
    </w:p>
    <w:p>
      <w:pPr>
        <w:spacing w:before="0" w:after="0" w:line="408" w:lineRule="exact"/>
        <w:ind w:left="0" w:right="0" w:firstLine="576"/>
        <w:jc w:val="left"/>
      </w:pPr>
      <w:r>
        <w:rPr/>
        <w:t xml:space="preserve">(5) The authority shall make sufficient funding available to ensure that a health engagement hub is available within a two-hour drive for all communities and that there is at least one health engagement hub available per 200,000 residents in Washington state.</w:t>
      </w:r>
    </w:p>
    <w:p>
      <w:pPr>
        <w:spacing w:before="240" w:after="0" w:line="408" w:lineRule="exact"/>
        <w:ind w:left="0" w:right="0" w:firstLine="576"/>
        <w:jc w:val="center"/>
      </w:pPr>
      <w:r>
        <w:rPr>
          <w:b/>
        </w:rPr>
        <w:t xml:space="preserve">Part X – Education and Employment Pathways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Subject to funding provided for this specific purpose, the authority shall establish a grant program for providers of employment, education, training, certification, and other supportive programs designed to provide persons recovering from a substance use disorder with employment opportunities. The grant program shall employ a low-barrier application and give priority to programs that engage with black, indigenous, persons of color, and other historically underserved communities.</w:t>
      </w:r>
    </w:p>
    <w:p>
      <w:pPr>
        <w:spacing w:before="240" w:after="0" w:line="408" w:lineRule="exact"/>
        <w:ind w:left="0" w:right="0" w:firstLine="576"/>
        <w:jc w:val="center"/>
      </w:pPr>
      <w:r>
        <w:rPr>
          <w:b/>
        </w:rPr>
        <w:t xml:space="preserve">Part XI – Providing a Statewide Directory of Recovery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Subject to funding provided for this specific purpose, the department shall provide a statewide tool to map and direct individuals with behavioral health disorders to treatment and recovery support services locations. The tool shall be dynamically updated.</w:t>
      </w:r>
    </w:p>
    <w:p>
      <w:pPr>
        <w:spacing w:before="240" w:after="0" w:line="408" w:lineRule="exact"/>
        <w:ind w:left="0" w:right="0" w:firstLine="576"/>
        <w:jc w:val="center"/>
      </w:pPr>
      <w:r>
        <w:rPr>
          <w:b/>
        </w:rPr>
        <w:t xml:space="preserve">Part XII – Investing Adequately in Statewide Diversion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the legislature to increase investments in the 2023-2025 biennium substantially over baseline levels established in the 2021-2023 operating and capital budgets to increase the provision of evidence-based prearrest and prefiling diversion programs in all regions of the state. Services which shall be increased and included in every health purchasing region include crisis stabilization units, 23-hour crisis relief centers, mobile crisis response services for youth and adults, recovery navigator programs, and law enforcement assisted diversion.</w:t>
      </w:r>
    </w:p>
    <w:p>
      <w:pPr>
        <w:spacing w:before="0" w:after="0" w:line="408" w:lineRule="exact"/>
        <w:ind w:left="0" w:right="0" w:firstLine="576"/>
        <w:jc w:val="left"/>
      </w:pPr>
      <w:r>
        <w:rPr/>
        <w:t xml:space="preserve">(2) The appropriations in this subsection are provided to the state health care authority and are subject to the following conditions and limitations:</w:t>
      </w:r>
    </w:p>
    <w:p>
      <w:pPr>
        <w:spacing w:before="0" w:after="0" w:line="408" w:lineRule="exact"/>
        <w:ind w:left="0" w:right="0" w:firstLine="576"/>
        <w:jc w:val="left"/>
      </w:pPr>
      <w:r>
        <w:rPr/>
        <w:t xml:space="preserve">(a) The following sums, or so much thereof as may be necessary, are each appropriated: $18,114,000 from the state general fund for the fiscal year ending June 30, 2024; and $16,437,000 from the state general fund for the fiscal year ending June 30, 2025. The amounts in this subsection are provided solely for the authority to continue and expand efforts to provide opioid use disorder medication in city, county, regional, and tribal jails.</w:t>
      </w:r>
    </w:p>
    <w:p>
      <w:pPr>
        <w:spacing w:before="0" w:after="0" w:line="408" w:lineRule="exact"/>
        <w:ind w:left="0" w:right="0" w:firstLine="576"/>
        <w:jc w:val="left"/>
      </w:pPr>
      <w:r>
        <w:rPr/>
        <w:t xml:space="preserve">(b) The following sums, or so much thereof as may be necessary, are each appropriated: $3,500,000 from the state general fund for the fiscal year ending June 30, 2024; and $3,500,000 from the state general fund for the fiscal year ending June 30, 2025. The amounts in this subsection are provided solely for the authority to provide support funds to new and established clubhouses throughout the state.</w:t>
      </w:r>
    </w:p>
    <w:p>
      <w:pPr>
        <w:spacing w:before="0" w:after="0" w:line="408" w:lineRule="exact"/>
        <w:ind w:left="0" w:right="0" w:firstLine="576"/>
        <w:jc w:val="left"/>
      </w:pPr>
      <w:r>
        <w:rPr/>
        <w:t xml:space="preserve">(c) The following sums, or so much thereof as may be necessary, are each appropriated: $1,583,000 from the state general fund for the fiscal year ending June 30, 2024; and $1,583,000 from the state general fund for the fiscal year ending June 30, 2025. The amounts in this subsection are provided solely for the authority to award grants to crisis services providers to establish and expand 23-hour crisis relief center capacity. It is the intent of the legislature that grants are awarded to an equivalent number of providers to the west and the east of the Cascade mountains. The authority must consider the geographic distribution of proposed grant applicants and the regional need for 23-hour crisis relief centers when awarding grant funds.</w:t>
      </w:r>
    </w:p>
    <w:p>
      <w:pPr>
        <w:spacing w:before="240" w:after="0" w:line="408" w:lineRule="exact"/>
        <w:ind w:left="0" w:right="0" w:firstLine="576"/>
        <w:jc w:val="center"/>
      </w:pPr>
      <w:r>
        <w:rPr>
          <w:b/>
        </w:rPr>
        <w:t xml:space="preserve">Part XIII – Streamlining Substance Use Disorder Treatment Intakes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shall convene a work group to recommend changes to systems, policies, and processes related to intake, screening, and assessment for substance use disorder services, with the goal to broaden the workforce capable of processing intakes and to make the intake process as brief as possible, including only what is necessary to manage utilization and initiate care. The intake shall be low barrier, person-centered, and amenable to administration in diverse health care settings and by a range of health care professionals. The intake assessment shall consider the person's self-identified needs and preferences when evaluating direction of treatment and may include different components based on the setting, context, and past experience with the client.</w:t>
      </w:r>
    </w:p>
    <w:p>
      <w:pPr>
        <w:spacing w:before="0" w:after="0" w:line="408" w:lineRule="exact"/>
        <w:ind w:left="0" w:right="0" w:firstLine="576"/>
        <w:jc w:val="left"/>
      </w:pPr>
      <w:r>
        <w:rPr/>
        <w:t xml:space="preserve">(2) The work group must include care providers, payors, people who use drugs, and other individuals recommended by the authority. The work group shall present its recommendations to the governor and appropriate committees of the legislature by December 1, 2024.</w:t>
      </w:r>
    </w:p>
    <w:p>
      <w:pPr>
        <w:spacing w:before="240" w:after="0" w:line="408" w:lineRule="exact"/>
        <w:ind w:left="0" w:right="0" w:firstLine="576"/>
        <w:jc w:val="center"/>
      </w:pPr>
      <w:r>
        <w:rPr>
          <w:b/>
        </w:rPr>
        <w:t xml:space="preserve">Part XIV – Establishing the Safe-Supply Work Group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specific purpose, the statewide safe supply work group is created. The purpose of the work group is to evaluate potential models for safe supply services and make recommendations on inclusion of a safe supply framework in the Washington state substance use recovery services plan to provide a regulated, tested supply of controlled substances to individuals at risk of drug overdose. The work group membership shall be reflective of the community of individuals living with substance use disorder, including persons who are black, indigenous, and persons of color, persons with co-occurring substance use disorders and mental health conditions, as well as persons who represent the unique needs of rural communities.</w:t>
      </w:r>
    </w:p>
    <w:p>
      <w:pPr>
        <w:spacing w:before="0" w:after="0" w:line="408" w:lineRule="exact"/>
        <w:ind w:left="0" w:right="0" w:firstLine="576"/>
        <w:jc w:val="left"/>
      </w:pPr>
      <w:r>
        <w:rPr/>
        <w:t xml:space="preserve">(2) The work group membership shall consist of, but is not limited to, members appointed by the governor representing the following:</w:t>
      </w:r>
    </w:p>
    <w:p>
      <w:pPr>
        <w:spacing w:before="0" w:after="0" w:line="408" w:lineRule="exact"/>
        <w:ind w:left="0" w:right="0" w:firstLine="576"/>
        <w:jc w:val="left"/>
      </w:pPr>
      <w:r>
        <w:rPr/>
        <w:t xml:space="preserve">(a) At least one adult in recovery from substance use disorder;</w:t>
      </w:r>
    </w:p>
    <w:p>
      <w:pPr>
        <w:spacing w:before="0" w:after="0" w:line="408" w:lineRule="exact"/>
        <w:ind w:left="0" w:right="0" w:firstLine="576"/>
        <w:jc w:val="left"/>
      </w:pPr>
      <w:r>
        <w:rPr/>
        <w:t xml:space="preserve">(b) At least one youth in recovery from substance use disorder;</w:t>
      </w:r>
    </w:p>
    <w:p>
      <w:pPr>
        <w:spacing w:before="0" w:after="0" w:line="408" w:lineRule="exact"/>
        <w:ind w:left="0" w:right="0" w:firstLine="576"/>
        <w:jc w:val="left"/>
      </w:pPr>
      <w:r>
        <w:rPr/>
        <w:t xml:space="preserve">(c) One expert from the addictions, drug, and alcohol institute at the University of Washington;</w:t>
      </w:r>
    </w:p>
    <w:p>
      <w:pPr>
        <w:spacing w:before="0" w:after="0" w:line="408" w:lineRule="exact"/>
        <w:ind w:left="0" w:right="0" w:firstLine="576"/>
        <w:jc w:val="left"/>
      </w:pPr>
      <w:r>
        <w:rPr/>
        <w:t xml:space="preserve">(d) One outreach services provider;</w:t>
      </w:r>
    </w:p>
    <w:p>
      <w:pPr>
        <w:spacing w:before="0" w:after="0" w:line="408" w:lineRule="exact"/>
        <w:ind w:left="0" w:right="0" w:firstLine="576"/>
        <w:jc w:val="left"/>
      </w:pPr>
      <w:r>
        <w:rPr/>
        <w:t xml:space="preserve">(e) One substance use disorder treatment provider;</w:t>
      </w:r>
    </w:p>
    <w:p>
      <w:pPr>
        <w:spacing w:before="0" w:after="0" w:line="408" w:lineRule="exact"/>
        <w:ind w:left="0" w:right="0" w:firstLine="576"/>
        <w:jc w:val="left"/>
      </w:pPr>
      <w:r>
        <w:rPr/>
        <w:t xml:space="preserve">(f) One peer recovery services provider;</w:t>
      </w:r>
    </w:p>
    <w:p>
      <w:pPr>
        <w:spacing w:before="0" w:after="0" w:line="408" w:lineRule="exact"/>
        <w:ind w:left="0" w:right="0" w:firstLine="576"/>
        <w:jc w:val="left"/>
      </w:pPr>
      <w:r>
        <w:rPr/>
        <w:t xml:space="preserve">(g) One recovery housing provider;</w:t>
      </w:r>
    </w:p>
    <w:p>
      <w:pPr>
        <w:spacing w:before="0" w:after="0" w:line="408" w:lineRule="exact"/>
        <w:ind w:left="0" w:right="0" w:firstLine="576"/>
        <w:jc w:val="left"/>
      </w:pPr>
      <w:r>
        <w:rPr/>
        <w:t xml:space="preserve">(h) One expert in serving persons with co-occurring substance use disorders and mental health conditions;</w:t>
      </w:r>
    </w:p>
    <w:p>
      <w:pPr>
        <w:spacing w:before="0" w:after="0" w:line="408" w:lineRule="exact"/>
        <w:ind w:left="0" w:right="0" w:firstLine="576"/>
        <w:jc w:val="left"/>
      </w:pPr>
      <w:r>
        <w:rPr/>
        <w:t xml:space="preserve">(i) One expert in substance use disorder and the treatment of chronic pain patients who is a physician;</w:t>
      </w:r>
    </w:p>
    <w:p>
      <w:pPr>
        <w:spacing w:before="0" w:after="0" w:line="408" w:lineRule="exact"/>
        <w:ind w:left="0" w:right="0" w:firstLine="576"/>
        <w:jc w:val="left"/>
      </w:pPr>
      <w:r>
        <w:rPr/>
        <w:t xml:space="preserve">(j) One expert in antiracism and equity in health care delivery systems;</w:t>
      </w:r>
    </w:p>
    <w:p>
      <w:pPr>
        <w:spacing w:before="0" w:after="0" w:line="408" w:lineRule="exact"/>
        <w:ind w:left="0" w:right="0" w:firstLine="576"/>
        <w:jc w:val="left"/>
      </w:pPr>
      <w:r>
        <w:rPr/>
        <w:t xml:space="preserve">(k) One employee who provides substance use disorder treatment or services as a member of a labor union representing workers in the behavioral health field;</w:t>
      </w:r>
    </w:p>
    <w:p>
      <w:pPr>
        <w:spacing w:before="0" w:after="0" w:line="408" w:lineRule="exact"/>
        <w:ind w:left="0" w:right="0" w:firstLine="576"/>
        <w:jc w:val="left"/>
      </w:pPr>
      <w:r>
        <w:rPr/>
        <w:t xml:space="preserve">(l) One representative of the association of Washington health care plans;</w:t>
      </w:r>
    </w:p>
    <w:p>
      <w:pPr>
        <w:spacing w:before="0" w:after="0" w:line="408" w:lineRule="exact"/>
        <w:ind w:left="0" w:right="0" w:firstLine="576"/>
        <w:jc w:val="left"/>
      </w:pPr>
      <w:r>
        <w:rPr/>
        <w:t xml:space="preserve">(m) One representative of sheriffs and police chiefs;</w:t>
      </w:r>
    </w:p>
    <w:p>
      <w:pPr>
        <w:spacing w:before="0" w:after="0" w:line="408" w:lineRule="exact"/>
        <w:ind w:left="0" w:right="0" w:firstLine="576"/>
        <w:jc w:val="left"/>
      </w:pPr>
      <w:r>
        <w:rPr/>
        <w:t xml:space="preserve">(n) One representative of a federally recognized tribe; and</w:t>
      </w:r>
    </w:p>
    <w:p>
      <w:pPr>
        <w:spacing w:before="0" w:after="0" w:line="408" w:lineRule="exact"/>
        <w:ind w:left="0" w:right="0" w:firstLine="576"/>
        <w:jc w:val="left"/>
      </w:pPr>
      <w:r>
        <w:rPr/>
        <w:t xml:space="preserve">(o) One representative of local government.</w:t>
      </w:r>
    </w:p>
    <w:p>
      <w:pPr>
        <w:spacing w:before="0" w:after="0" w:line="408" w:lineRule="exact"/>
        <w:ind w:left="0" w:right="0" w:firstLine="576"/>
        <w:jc w:val="left"/>
      </w:pPr>
      <w:r>
        <w:rPr/>
        <w:t xml:space="preserve">(3) The work group's evaluation shall include, but is not limited to, the following:</w:t>
      </w:r>
    </w:p>
    <w:p>
      <w:pPr>
        <w:spacing w:before="0" w:after="0" w:line="408" w:lineRule="exact"/>
        <w:ind w:left="0" w:right="0" w:firstLine="576"/>
        <w:jc w:val="left"/>
      </w:pPr>
      <w:r>
        <w:rPr/>
        <w:t xml:space="preserve">(a) Examining the concept of "safe supply," defined as a legal and regulated supply of mind or body altering substances that traditionally only have been accessible through illicit markets;</w:t>
      </w:r>
    </w:p>
    <w:p>
      <w:pPr>
        <w:spacing w:before="0" w:after="0" w:line="408" w:lineRule="exact"/>
        <w:ind w:left="0" w:right="0" w:firstLine="576"/>
        <w:jc w:val="left"/>
      </w:pPr>
      <w:r>
        <w:rPr/>
        <w:t xml:space="preserve">(b) Examining whether there is evidence that a proposed "safe supply" would have an impact on fatal or nonfatal overdose, drug diversion, or associated health and community impacts;</w:t>
      </w:r>
    </w:p>
    <w:p>
      <w:pPr>
        <w:spacing w:before="0" w:after="0" w:line="408" w:lineRule="exact"/>
        <w:ind w:left="0" w:right="0" w:firstLine="576"/>
        <w:jc w:val="left"/>
      </w:pPr>
      <w:r>
        <w:rPr/>
        <w:t xml:space="preserve">(c) Examining whether there is evidence that a proposed "safe supply" would be accompanied by increased risks to individuals, the community, or other entities or jurisdictions;</w:t>
      </w:r>
    </w:p>
    <w:p>
      <w:pPr>
        <w:spacing w:before="0" w:after="0" w:line="408" w:lineRule="exact"/>
        <w:ind w:left="0" w:right="0" w:firstLine="576"/>
        <w:jc w:val="left"/>
      </w:pPr>
      <w:r>
        <w:rPr/>
        <w:t xml:space="preserve">(d) Examining historical evidence regarding the overprescribing of opioids; and</w:t>
      </w:r>
    </w:p>
    <w:p>
      <w:pPr>
        <w:spacing w:before="0" w:after="0" w:line="408" w:lineRule="exact"/>
        <w:ind w:left="0" w:right="0" w:firstLine="576"/>
        <w:jc w:val="left"/>
      </w:pPr>
      <w:r>
        <w:rPr/>
        <w:t xml:space="preserve">(e) Examining whether there is evidence that a proposed "safe supply" would be accompanied by any other benefits or consequences.</w:t>
      </w:r>
    </w:p>
    <w:p>
      <w:pPr>
        <w:spacing w:before="0" w:after="0" w:line="408" w:lineRule="exact"/>
        <w:ind w:left="0" w:right="0" w:firstLine="576"/>
        <w:jc w:val="left"/>
      </w:pPr>
      <w:r>
        <w:rPr/>
        <w:t xml:space="preserve">(4) Staffing for the work group shall be provided by the authority.</w:t>
      </w:r>
    </w:p>
    <w:p>
      <w:pPr>
        <w:spacing w:before="0" w:after="0" w:line="408" w:lineRule="exact"/>
        <w:ind w:left="0" w:right="0" w:firstLine="576"/>
        <w:jc w:val="left"/>
      </w:pPr>
      <w:r>
        <w:rPr/>
        <w:t xml:space="preserve">(5) The work group shall provide a preliminary report and recommendations to the governor and appropriate committees of the legislature by December 1, 2023, and shall provide a final report by December 1, 2024.</w:t>
      </w:r>
    </w:p>
    <w:p>
      <w:pPr>
        <w:spacing w:before="240" w:after="0" w:line="408" w:lineRule="exact"/>
        <w:ind w:left="0" w:right="0" w:firstLine="576"/>
        <w:jc w:val="center"/>
      </w:pPr>
      <w:r>
        <w:rPr>
          <w:b/>
        </w:rPr>
        <w:t xml:space="preserve">Part XV - 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311 s 29</w:t>
      </w:r>
      <w:r>
        <w:rPr/>
        <w:t xml:space="preserve"> (uncodified) is amended to read as follows:</w:t>
      </w:r>
    </w:p>
    <w:p>
      <w:pPr>
        <w:spacing w:before="0" w:after="0" w:line="408" w:lineRule="exact"/>
        <w:ind w:left="0" w:right="0" w:firstLine="576"/>
        <w:jc w:val="left"/>
      </w:pPr>
      <w:r>
        <w:rPr/>
        <w:t xml:space="preserve">Sections 8 through 10</w:t>
      </w:r>
      <w:r>
        <w:t>((</w:t>
      </w:r>
      <w:r>
        <w:rPr>
          <w:strike/>
        </w:rPr>
        <w:t xml:space="preserve">,</w:t>
      </w:r>
      <w:r>
        <w:t>))</w:t>
      </w:r>
      <w:r>
        <w:rPr/>
        <w:t xml:space="preserve"> </w:t>
      </w:r>
      <w:r>
        <w:rPr>
          <w:u w:val="single"/>
        </w:rPr>
        <w:t xml:space="preserve">and</w:t>
      </w:r>
      <w:r>
        <w:rPr/>
        <w:t xml:space="preserve"> 12</w:t>
      </w:r>
      <w:r>
        <w:t>((</w:t>
      </w:r>
      <w:r>
        <w:rPr>
          <w:strike/>
        </w:rPr>
        <w:t xml:space="preserve">, 15, and 16</w:t>
      </w:r>
      <w:r>
        <w:t>))</w:t>
      </w:r>
      <w:r>
        <w:rPr/>
        <w:t xml:space="preserve"> of this act expire </w:t>
      </w:r>
      <w:r>
        <w:t>((</w:t>
      </w:r>
      <w:r>
        <w:rPr>
          <w:strike/>
        </w:rPr>
        <w:t xml:space="preserve">July 1, 2023</w:t>
      </w:r>
      <w:r>
        <w:t>))</w:t>
      </w:r>
      <w:r>
        <w:rPr/>
        <w:t xml:space="preserve"> </w:t>
      </w:r>
      <w:r>
        <w:rPr>
          <w:u w:val="single"/>
        </w:rPr>
        <w:t xml:space="preserve">on the effective date of this section</w:t>
      </w:r>
      <w:r>
        <w:rPr/>
        <w:t xml:space="preserve">.</w:t>
      </w:r>
    </w:p>
    <w:p/>
    <w:p>
      <w:pPr>
        <w:jc w:val="center"/>
      </w:pPr>
      <w:r>
        <w:rPr>
          <w:b/>
        </w:rPr>
        <w:t>--- END ---</w:t>
      </w:r>
    </w:p>
    <w:sectPr>
      <w:pgNumType w:start="1"/>
      <w:footerReference xmlns:r="http://schemas.openxmlformats.org/officeDocument/2006/relationships" r:id="R3a95dc04ac1a435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5d4df25f5a41b6" /><Relationship Type="http://schemas.openxmlformats.org/officeDocument/2006/relationships/footer" Target="/word/footer1.xml" Id="R3a95dc04ac1a4354" /></Relationships>
</file>