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7fcd40d7f48d1" /></Relationships>
</file>

<file path=word/document.xml><?xml version="1.0" encoding="utf-8"?>
<w:document xmlns:w="http://schemas.openxmlformats.org/wordprocessingml/2006/main">
  <w:body>
    <w:p>
      <w:r>
        <w:t>S-1108.4</w:t>
      </w:r>
    </w:p>
    <w:p>
      <w:pPr>
        <w:jc w:val="center"/>
      </w:pPr>
      <w:r>
        <w:t>_______________________________________________</w:t>
      </w:r>
    </w:p>
    <w:p/>
    <w:p>
      <w:pPr>
        <w:jc w:val="center"/>
      </w:pPr>
      <w:r>
        <w:rPr>
          <w:b/>
        </w:rPr>
        <w:t>SUBSTITUTE SENATE BILL 5453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Keiser, Dhingra, Cleveland, Nguyen, Saldaña, and Valdez)</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female genital mutilation; amending RCW 18.130.180 and 9A.04.080; reenacting and amending RCW 26.44.020; adding new sections to chapter 9A.36 RCW; adding a new section to chapter 18.130 RCW; adding a new section to chapter 43.70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500,000 women in the United States are at risk of or have undergone female genital mutilation. The existence, incidence, and effects of female genital mutilation is often shrouded in secrecy. Federal law prohibits the performance of female genital mutilation in the United States.</w:t>
      </w:r>
    </w:p>
    <w:p>
      <w:pPr>
        <w:spacing w:before="0" w:after="0" w:line="408" w:lineRule="exact"/>
        <w:ind w:left="0" w:right="0" w:firstLine="576"/>
        <w:jc w:val="left"/>
      </w:pPr>
      <w:r>
        <w:rPr/>
        <w:t xml:space="preserve">(2) The legislature intends to create a private right of action for victims of female genital mutilation and create a disciplinary violation under the uniform disciplinary act. The legislature further intends to establish education and outreach initiatives to prevent female genital mutilation, and provide care for victims of female genital mutilation.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victim of female genital mutilation under section 7 of this act may bring a civil cause of action against the person who committed the female genital mutilation for economic and noneconomic damages, punitive damages, and reasonable attorneys' fees and costs incurred in bringing the action.</w:t>
      </w:r>
    </w:p>
    <w:p>
      <w:pPr>
        <w:spacing w:before="0" w:after="0" w:line="408" w:lineRule="exact"/>
        <w:ind w:left="0" w:right="0" w:firstLine="576"/>
        <w:jc w:val="left"/>
      </w:pPr>
      <w:r>
        <w:rPr/>
        <w:t xml:space="preserve">(2) A civil cause of action for female genital mutilation under this section must be commenced within 10 years of the acts alleged to have caused the injury. However, the time limit for commencement of an action under this section shall be tolled for a minor until the minor reaches the age of 18 years.</w:t>
      </w:r>
    </w:p>
    <w:p>
      <w:pPr>
        <w:spacing w:before="0" w:after="0" w:line="408" w:lineRule="exact"/>
        <w:ind w:left="0" w:right="0" w:firstLine="576"/>
        <w:jc w:val="left"/>
      </w:pPr>
      <w:r>
        <w:rPr/>
        <w:t xml:space="preserve">(3) For purposes of this section,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shall not perform any procedure constituting female genital mutilation on a minor.</w:t>
      </w:r>
    </w:p>
    <w:p>
      <w:pPr>
        <w:spacing w:before="0" w:after="0" w:line="408" w:lineRule="exact"/>
        <w:ind w:left="0" w:right="0" w:firstLine="576"/>
        <w:jc w:val="left"/>
      </w:pPr>
      <w:r>
        <w:rPr/>
        <w:t xml:space="preserve">(2) A licensed health care provider who violates subsection (1) of this section is subject to discipline under this chapter.</w:t>
      </w:r>
    </w:p>
    <w:p>
      <w:pPr>
        <w:spacing w:before="0" w:after="0" w:line="408" w:lineRule="exact"/>
        <w:ind w:left="0" w:right="0" w:firstLine="576"/>
        <w:jc w:val="left"/>
      </w:pPr>
      <w:r>
        <w:rPr/>
        <w:t xml:space="preserve">(3) For purposes of this section: </w:t>
      </w:r>
    </w:p>
    <w:p>
      <w:pPr>
        <w:spacing w:before="0" w:after="0" w:line="408" w:lineRule="exact"/>
        <w:ind w:left="0" w:right="0" w:firstLine="576"/>
        <w:jc w:val="left"/>
      </w:pPr>
      <w:r>
        <w:rPr/>
        <w:t xml:space="preserve">(a)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r>
        <w:rPr>
          <w:u w:val="single"/>
        </w:rPr>
        <w:t xml:space="preserve">;</w:t>
      </w:r>
    </w:p>
    <w:p>
      <w:pPr>
        <w:spacing w:before="0" w:after="0" w:line="408" w:lineRule="exact"/>
        <w:ind w:left="0" w:right="0" w:firstLine="576"/>
        <w:jc w:val="left"/>
      </w:pPr>
      <w:r>
        <w:rPr>
          <w:u w:val="single"/>
        </w:rPr>
        <w:t xml:space="preserve">(29) Violation of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215 s 142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w:t>
      </w:r>
      <w:r>
        <w:rPr>
          <w:u w:val="single"/>
        </w:rPr>
        <w:t xml:space="preserve">female genital mutilation as defined in section 3 of this act,</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establish an education program for the prevention of female genital mutilation. The program must be designed to provide information about the health risks and emotional trauma inflicted by the practice of female genital mutilation, as well as the civil and criminal penalties for committing female genital mutilation.</w:t>
      </w:r>
    </w:p>
    <w:p>
      <w:pPr>
        <w:spacing w:before="0" w:after="0" w:line="408" w:lineRule="exact"/>
        <w:ind w:left="0" w:right="0" w:firstLine="576"/>
        <w:jc w:val="left"/>
      </w:pPr>
      <w:r>
        <w:rPr/>
        <w:t xml:space="preserve">(2) The department must develop policies and procedures to promote partnerships with relevant stakeholders to prevent female genital mutilation and to protect and provide assistance to victims of female genital mutilation, including partnerships with:</w:t>
      </w:r>
    </w:p>
    <w:p>
      <w:pPr>
        <w:spacing w:before="0" w:after="0" w:line="408" w:lineRule="exact"/>
        <w:ind w:left="0" w:right="0" w:firstLine="576"/>
        <w:jc w:val="left"/>
      </w:pPr>
      <w:r>
        <w:rPr/>
        <w:t xml:space="preserve">(a) Relevant state agencies that provide services to persons at risk of female genital mutilation or persons who have been subjected to female genital mutilation;</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Washington state patrol;</w:t>
      </w:r>
    </w:p>
    <w:p>
      <w:pPr>
        <w:spacing w:before="0" w:after="0" w:line="408" w:lineRule="exact"/>
        <w:ind w:left="0" w:right="0" w:firstLine="576"/>
        <w:jc w:val="left"/>
      </w:pPr>
      <w:r>
        <w:rPr/>
        <w:t xml:space="preserve">(d) The attorney general; and</w:t>
      </w:r>
    </w:p>
    <w:p>
      <w:pPr>
        <w:spacing w:before="0" w:after="0" w:line="408" w:lineRule="exact"/>
        <w:ind w:left="0" w:right="0" w:firstLine="576"/>
        <w:jc w:val="left"/>
      </w:pPr>
      <w:r>
        <w:rPr/>
        <w:t xml:space="preserve">(e) Other government entities and nongovernmental organizations.</w:t>
      </w:r>
    </w:p>
    <w:p>
      <w:pPr>
        <w:spacing w:before="0" w:after="0" w:line="408" w:lineRule="exact"/>
        <w:ind w:left="0" w:right="0" w:firstLine="576"/>
        <w:jc w:val="left"/>
      </w:pPr>
      <w:r>
        <w:rPr/>
        <w:t xml:space="preserve">(3) The department must make recommendations and develop procedures regarding strategies and methodologies for training health care providers as defined in RCW 70.02.010 on recognizing the risk factors associated with female genital mutilation and the signs that a person may be a victim of female genital mutilation.</w:t>
      </w:r>
    </w:p>
    <w:p>
      <w:pPr>
        <w:spacing w:before="0" w:after="0" w:line="408" w:lineRule="exact"/>
        <w:ind w:left="0" w:right="0" w:firstLine="576"/>
        <w:jc w:val="left"/>
      </w:pPr>
      <w:r>
        <w:rPr/>
        <w:t xml:space="preserve">(4) Subject to the availability of amounts appropriated for this specific purpose, the department may contract with nongovernmental organizations, entities, or persons with experience working with victims of female genital mutilation to provide training and materials and other services as the department deems necessary.</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purposes of this section, "female genital mutilation" has the meaning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a person is guilty of female genital mutilation when the person knowingly:</w:t>
      </w:r>
    </w:p>
    <w:p>
      <w:pPr>
        <w:spacing w:before="0" w:after="0" w:line="408" w:lineRule="exact"/>
        <w:ind w:left="0" w:right="0" w:firstLine="576"/>
        <w:jc w:val="left"/>
      </w:pPr>
      <w:r>
        <w:rPr/>
        <w:t xml:space="preserve">(a) Commits female genital mutilation on a minor; or</w:t>
      </w:r>
    </w:p>
    <w:p>
      <w:pPr>
        <w:spacing w:before="0" w:after="0" w:line="408" w:lineRule="exact"/>
        <w:ind w:left="0" w:right="0" w:firstLine="576"/>
        <w:jc w:val="left"/>
      </w:pPr>
      <w:r>
        <w:rPr/>
        <w:t xml:space="preserve">(b) Transports a minor, or causes or permits the transport of a minor, for the purpose of the performance of female genital mutilation on the minor.</w:t>
      </w:r>
    </w:p>
    <w:p>
      <w:pPr>
        <w:spacing w:before="0" w:after="0" w:line="408" w:lineRule="exact"/>
        <w:ind w:left="0" w:right="0" w:firstLine="576"/>
        <w:jc w:val="left"/>
      </w:pPr>
      <w:r>
        <w:rPr/>
        <w:t xml:space="preserve">(2) Female genital mutilation is a gross misdemeanor.</w:t>
      </w:r>
    </w:p>
    <w:p>
      <w:pPr>
        <w:spacing w:before="0" w:after="0" w:line="408" w:lineRule="exact"/>
        <w:ind w:left="0" w:right="0" w:firstLine="576"/>
        <w:jc w:val="left"/>
      </w:pPr>
      <w:r>
        <w:rPr/>
        <w:t xml:space="preserve">(3) A medical procedure is not a violation of this section if it is performed by a licensed health care provider and is necessary to the health of the minor.</w:t>
      </w:r>
    </w:p>
    <w:p>
      <w:pPr>
        <w:spacing w:before="0" w:after="0" w:line="408" w:lineRule="exact"/>
        <w:ind w:left="0" w:right="0" w:firstLine="576"/>
        <w:jc w:val="left"/>
      </w:pPr>
      <w:r>
        <w:rPr/>
        <w:t xml:space="preserve">(4) It is not a defense to a violation of this section that a person believes the person's actions were conducted as a matter of culture, custom, religion, or ritual, or that the minor on whom female genital mutilation was performed consented to female genital mutilation, or that the minor's parent or guardian consented to female genital mutilation.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"Female genital mutilation" has the meaning provided in section 2 of this act;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2022 c 282 s 4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w:t>
      </w:r>
      <w:r>
        <w:rPr>
          <w:u w:val="single"/>
        </w:rPr>
        <w:t xml:space="preserve">A violation of section 7 of this act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u w:val="single"/>
        </w:rPr>
        <w:t xml:space="preserve">(f)</w:t>
      </w:r>
      <w:r>
        <w:rPr/>
        <w:t xml:space="preserv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following offenses may not be prosecuted more than five years after its commission: Any class C felony under chapter 74.09, 82.36, or 82.38 RCW.</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Bigamy may not be prosecuted more than three years after the time specified in RCW 9A.64.010.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gross misdemeanor</w:t>
      </w:r>
      <w:r>
        <w:rPr>
          <w:u w:val="single"/>
        </w:rPr>
        <w:t xml:space="preserve">, except as provided under (e) of this subsection,</w:t>
      </w:r>
      <w:r>
        <w:rPr/>
        <w:t xml:space="preserve"> may be prosecuted more than two years after its commission.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83a77d0d9e445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99e4f88b24811" /><Relationship Type="http://schemas.openxmlformats.org/officeDocument/2006/relationships/footer" Target="/word/footer1.xml" Id="Rc83a77d0d9e445ad" /></Relationships>
</file>