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c25f4fcbe34f4b" /></Relationships>
</file>

<file path=word/document.xml><?xml version="1.0" encoding="utf-8"?>
<w:document xmlns:w="http://schemas.openxmlformats.org/wordprocessingml/2006/main">
  <w:body>
    <w:p>
      <w:r>
        <w:t>S-0665.1</w:t>
      </w:r>
    </w:p>
    <w:p>
      <w:pPr>
        <w:jc w:val="center"/>
      </w:pPr>
      <w:r>
        <w:t>_______________________________________________</w:t>
      </w:r>
    </w:p>
    <w:p/>
    <w:p>
      <w:pPr>
        <w:jc w:val="center"/>
      </w:pPr>
      <w:r>
        <w:rPr>
          <w:b/>
        </w:rPr>
        <w:t>SENATE BILL 5451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Saldaña, Hasegawa, Kuderer, Lovelett, Nguyen, and Valdez</w:t>
      </w:r>
    </w:p>
    <w:p/>
    <w:p>
      <w:r>
        <w:rPr>
          <w:t xml:space="preserve">Read first time 01/18/23.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qualifying persons serving long sentences committed prior to reaching 25 years of age to seek review for possible release from incarceration; amending RCW 9.94A.510, 9.94A.540, 9.94A.570, 9.94A.730, and 10.95.030; reenacting and amending RCW 9.94A.728; adding a new section to chapter 10.95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For offenders under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a term of </w:t>
            </w:r>
            <w:r>
              <w:t>((</w:t>
            </w:r>
            <w:r>
              <w:rPr>
                <w:rFonts w:ascii="Times New Roman" w:hAnsi="Times New Roman"/>
                <w:strike/>
                <w:sz w:val="14"/>
              </w:rPr>
              <w:t xml:space="preserve">twenty-five</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years to life.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shall be sentenced to a term of total confinement not less than </w:t>
      </w:r>
      <w:r>
        <w:t>((</w:t>
      </w:r>
      <w:r>
        <w:rPr>
          <w:strike/>
        </w:rPr>
        <w:t xml:space="preserve">twenty</w:t>
      </w:r>
      <w:r>
        <w:t>))</w:t>
      </w:r>
      <w:r>
        <w:rPr/>
        <w:t xml:space="preserve"> </w:t>
      </w:r>
      <w:r>
        <w:rPr>
          <w:u w:val="single"/>
        </w:rPr>
        <w:t xml:space="preserve">20</w:t>
      </w:r>
      <w:r>
        <w:rPr/>
        <w:t xml:space="preserve">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w:t>
      </w:r>
      <w:r>
        <w:t>((</w:t>
      </w:r>
      <w:r>
        <w:rPr>
          <w:strike/>
        </w:rPr>
        <w:t xml:space="preserve">sixty</w:t>
      </w:r>
      <w:r>
        <w:t>))</w:t>
      </w:r>
      <w:r>
        <w:rPr/>
        <w:t xml:space="preserve"> </w:t>
      </w:r>
      <w:r>
        <w:rPr>
          <w:u w:val="single"/>
        </w:rPr>
        <w:t xml:space="preserve">60</w:t>
      </w:r>
      <w:r>
        <w:rPr/>
        <w:t xml:space="preserve"> months.</w:t>
      </w:r>
    </w:p>
    <w:p>
      <w:pPr>
        <w:spacing w:before="0" w:after="0" w:line="408" w:lineRule="exact"/>
        <w:ind w:left="0" w:right="0" w:firstLine="576"/>
        <w:jc w:val="left"/>
      </w:pPr>
      <w:r>
        <w:rPr/>
        <w:t xml:space="preserve">(e) An offender convicted of the crime of aggravated first degree murder for a murder that was committed prior to the offender's </w:t>
      </w:r>
      <w:r>
        <w:t>((</w:t>
      </w:r>
      <w:r>
        <w:rPr>
          <w:strike/>
        </w:rPr>
        <w:t xml:space="preserve">eighteenth</w:t>
      </w:r>
      <w:r>
        <w:t>))</w:t>
      </w:r>
      <w:r>
        <w:rPr/>
        <w:t xml:space="preserve"> </w:t>
      </w:r>
      <w:r>
        <w:rPr>
          <w:u w:val="single"/>
        </w:rPr>
        <w:t xml:space="preserve">25th</w:t>
      </w:r>
      <w:r>
        <w:rPr/>
        <w:t xml:space="preserve"> birthday shall be sentenced to a term of total confinement not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w:t>
      </w:r>
      <w:r>
        <w:t>((</w:t>
      </w:r>
      <w:r>
        <w:rPr>
          <w:strike/>
        </w:rPr>
        <w:t xml:space="preserve">or</w:t>
      </w:r>
      <w:r>
        <w:t>))</w:t>
      </w:r>
      <w:r>
        <w:rPr/>
        <w:t xml:space="preserve"> (c) for an extraordinary medical placement when authorized under RCW 9.94A.728</w:t>
      </w:r>
      <w:r>
        <w:t>((</w:t>
      </w:r>
      <w:r>
        <w:rPr>
          <w:strike/>
        </w:rPr>
        <w:t xml:space="preserve">(3)</w:t>
      </w:r>
      <w:r>
        <w:t>))</w:t>
      </w:r>
      <w:r>
        <w:rPr/>
        <w:t xml:space="preserve"> </w:t>
      </w:r>
      <w:r>
        <w:rPr>
          <w:u w:val="single"/>
        </w:rPr>
        <w:t xml:space="preserve">(1)(c); or (d) for release approved by the board under RCW 9.94A.730</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570</w:t>
      </w:r>
      <w:r>
        <w:rPr/>
        <w:t xml:space="preserve"> and 2000 c 28 s 6 are each amended to read as follows:</w:t>
      </w:r>
    </w:p>
    <w:p>
      <w:pPr>
        <w:spacing w:before="0" w:after="0" w:line="408" w:lineRule="exact"/>
        <w:ind w:left="0" w:right="0" w:firstLine="576"/>
        <w:jc w:val="left"/>
      </w:pPr>
      <w:r>
        <w:rPr>
          <w:u w:val="single"/>
        </w:rPr>
        <w:t xml:space="preserve">(1)</w:t>
      </w:r>
      <w:r>
        <w:rPr/>
        <w:t xml:space="preserve"> Notwithstanding the statutory maximum sentence or any other provision of this chapter, a persistent offender shall be sentenced to a term of total confinement for life without the possibility of release or, when authorized by RCW 10.95.030 for the crime of aggravated murder in the first degree, sentenced to death. </w:t>
      </w:r>
      <w:r>
        <w:t>((</w:t>
      </w:r>
      <w:r>
        <w:rPr>
          <w:strike/>
        </w:rPr>
        <w:t xml:space="preserve">In addition, no offender subject to this section may be</w:t>
      </w:r>
      <w:r>
        <w:t>))</w:t>
      </w:r>
    </w:p>
    <w:p>
      <w:pPr>
        <w:spacing w:before="0" w:after="0" w:line="408" w:lineRule="exact"/>
        <w:ind w:left="0" w:right="0" w:firstLine="576"/>
        <w:jc w:val="left"/>
      </w:pPr>
      <w:r>
        <w:rPr>
          <w:u w:val="single"/>
        </w:rPr>
        <w:t xml:space="preserve">(2) A persistent offender is not</w:t>
      </w:r>
      <w:r>
        <w:rPr/>
        <w:t xml:space="preserve"> eligible for community custody, earned release time, furlough, home detention, partial confinement, work crew, work release, or any other form of release as defined under RCW 9.94A.728(1)</w:t>
      </w:r>
      <w:r>
        <w:t>((</w:t>
      </w:r>
      <w:r>
        <w:rPr>
          <w:strike/>
        </w:rPr>
        <w:t xml:space="preserve">, (2), (3), (4), (6), (8), or (9)</w:t>
      </w:r>
      <w:r>
        <w:t>))</w:t>
      </w:r>
      <w:r>
        <w:rPr/>
        <w:t xml:space="preserve"> </w:t>
      </w:r>
      <w:r>
        <w:rPr>
          <w:u w:val="single"/>
        </w:rPr>
        <w:t xml:space="preserve">(b), (c), (e), (h), and (i)</w:t>
      </w:r>
      <w:r>
        <w:rPr/>
        <w:t xml:space="preserve">, or any other form of authorized leave from a correctional facility while not in the direct custody of a corrections officer or officers, except: (1) In the case of an offender in need of emergency medical treatment; or (2) for the purpose of commitment to an inpatient treatment facility in the case of an offender convicted of the crime of rape in the first degree.</w:t>
      </w:r>
    </w:p>
    <w:p>
      <w:pPr>
        <w:spacing w:before="0" w:after="0" w:line="408" w:lineRule="exact"/>
        <w:ind w:left="0" w:right="0" w:firstLine="576"/>
        <w:jc w:val="left"/>
      </w:pPr>
      <w:r>
        <w:rPr>
          <w:u w:val="single"/>
        </w:rPr>
        <w:t xml:space="preserve">(3) A persistent offender may be released from confinement by the board under RCW 9.94A.730 or 10.95.030(3).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2021 c 311 s 19 and 2021 c 266 s 2 are each reenacted and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five months of the offender's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offenders under RCW 9.94A.733(1)(b), after serving at least four months in total confinement in a state correctional facility, an offender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be released from confinement pursuant to RCW 9.94A.730.</w:t>
      </w:r>
    </w:p>
    <w:p>
      <w:pPr>
        <w:spacing w:before="0" w:after="0" w:line="408" w:lineRule="exact"/>
        <w:ind w:left="0" w:right="0" w:firstLine="576"/>
        <w:jc w:val="left"/>
      </w:pPr>
      <w:r>
        <w:rPr/>
        <w:t xml:space="preserve">(2) Notwithstanding any other provision of this section, an offender entitled to vacation of a conviction or the recalculation of his or her offender score pursuant to </w:t>
      </w:r>
      <w:r>
        <w:rPr>
          <w:i/>
        </w:rPr>
        <w:t xml:space="preserve">State v. Blake</w:t>
      </w:r>
      <w:r>
        <w:rPr/>
        <w:t xml:space="preserve">, No. 96873-0 (Feb. 25, 2021), may be released from confinement pursuant to a court order if the offender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petition the indeterminate sentence review board for early release after serving no less than </w:t>
      </w:r>
      <w:r>
        <w:t>((</w:t>
      </w:r>
      <w:r>
        <w:rPr>
          <w:strike/>
        </w:rPr>
        <w:t xml:space="preserve">twenty</w:t>
      </w:r>
      <w:r>
        <w:t>))</w:t>
      </w:r>
      <w:r>
        <w:rPr/>
        <w:t xml:space="preserve"> </w:t>
      </w:r>
      <w:r>
        <w:rPr>
          <w:u w:val="single"/>
        </w:rPr>
        <w:t xml:space="preserve">15</w:t>
      </w:r>
      <w:r>
        <w:rPr/>
        <w:t xml:space="preserve"> years of total confinement, provided the person has not been convicted for any crime committed subsequent to the person's </w:t>
      </w:r>
      <w:r>
        <w:t>((</w:t>
      </w:r>
      <w:r>
        <w:rPr>
          <w:strike/>
        </w:rPr>
        <w:t xml:space="preserve">eighteenth</w:t>
      </w:r>
      <w:r>
        <w:t>))</w:t>
      </w:r>
      <w:r>
        <w:rPr/>
        <w:t xml:space="preserve"> </w:t>
      </w:r>
      <w:r>
        <w:rPr>
          <w:u w:val="single"/>
        </w:rPr>
        <w:t xml:space="preserve">25th</w:t>
      </w:r>
      <w:r>
        <w:rPr/>
        <w:t xml:space="preserve"> birthday, the person has not committed a disqualifying serious infraction as defined by the department in the </w:t>
      </w:r>
      <w:r>
        <w:t>((</w:t>
      </w:r>
      <w:r>
        <w:rPr>
          <w:strike/>
        </w:rPr>
        <w:t xml:space="preserve">twelve</w:t>
      </w:r>
      <w:r>
        <w:t>))</w:t>
      </w:r>
      <w:r>
        <w:rPr/>
        <w:t xml:space="preserve"> </w:t>
      </w:r>
      <w:r>
        <w:rPr>
          <w:u w:val="single"/>
        </w:rPr>
        <w:t xml:space="preserve">12</w:t>
      </w:r>
      <w:r>
        <w:rPr/>
        <w:t xml:space="preser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w:t>
      </w:r>
      <w:r>
        <w:t>((</w:t>
      </w:r>
      <w:r>
        <w:rPr>
          <w:strike/>
        </w:rPr>
        <w:t xml:space="preserve">one hundred eighty</w:t>
      </w:r>
      <w:r>
        <w:t>))</w:t>
      </w:r>
      <w:r>
        <w:rPr/>
        <w:t xml:space="preserve"> </w:t>
      </w:r>
      <w:r>
        <w:rPr>
          <w:u w:val="single"/>
        </w:rPr>
        <w:t xml:space="preserve">180</w:t>
      </w:r>
      <w:r>
        <w:rPr/>
        <w:t xml:space="preserve">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(3)(a)</w:t>
      </w:r>
      <w:r>
        <w:t>((</w:t>
      </w:r>
      <w:r>
        <w:rPr>
          <w:strike/>
        </w:rPr>
        <w:t xml:space="preserve">(i)</w:t>
      </w:r>
      <w:r>
        <w:t>))</w:t>
      </w:r>
      <w:r>
        <w:rPr/>
        <w:t xml:space="preserve"> Any person convicted of the crime of aggravated first degree murder for an offense committed prior to the person's </w:t>
      </w:r>
      <w:r>
        <w:t>((</w:t>
      </w:r>
      <w:r>
        <w:rPr>
          <w:strike/>
        </w:rPr>
        <w:t xml:space="preserve">sixteenth</w:t>
      </w:r>
      <w:r>
        <w:t>))</w:t>
      </w:r>
      <w:r>
        <w:rPr/>
        <w:t xml:space="preserve"> </w:t>
      </w:r>
      <w:r>
        <w:rPr>
          <w:u w:val="single"/>
        </w:rPr>
        <w:t xml:space="preserve">25th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t>((</w:t>
      </w:r>
      <w:r>
        <w:rPr>
          <w:strike/>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strike/>
        </w:rPr>
        <w:t xml:space="preserve">(b) In setting a minimum term, the court must take into account mitigating factors that account for the diminished culpability of youth as provided in </w:t>
      </w:r>
      <w:r>
        <w:rPr>
          <w:i/>
          <w:strike/>
        </w:rPr>
        <w:t xml:space="preserve">Miller v. Alabama</w:t>
      </w:r>
      <w:r>
        <w:rPr>
          <w:strike/>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 a hearing conducted under </w:t>
      </w:r>
      <w:r>
        <w:t>((</w:t>
      </w:r>
      <w:r>
        <w:rPr>
          <w:strike/>
        </w:rPr>
        <w:t xml:space="preserve">(f)</w:t>
      </w:r>
      <w:r>
        <w:t>))</w:t>
      </w:r>
      <w:r>
        <w:rPr/>
        <w:t xml:space="preserve"> </w:t>
      </w:r>
      <w:r>
        <w:rPr>
          <w:u w:val="single"/>
        </w:rPr>
        <w:t xml:space="preserve">(e)</w:t>
      </w:r>
      <w:r>
        <w:rPr/>
        <w:t xml:space="preserve">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person, who was sentenced prior to the effective date of this section, under this chapter or any prior law, to a term of life without the possibility of parole for an offense committed on or after his or her 16th birthday and prior to his or her 25th birthday, shall be returned to the sentencing court or the sentencing court's successor for sentencing consistent with RCW 10.95.030. Release and supervision of a person resentenced under this section is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right or entitlement to release from incarceration before the end of a term of incarceration imposed by the court.</w:t>
      </w:r>
    </w:p>
    <w:p/>
    <w:p>
      <w:pPr>
        <w:jc w:val="center"/>
      </w:pPr>
      <w:r>
        <w:rPr>
          <w:b/>
        </w:rPr>
        <w:t>--- END ---</w:t>
      </w:r>
    </w:p>
    <w:sectPr>
      <w:pgNumType w:start="1"/>
      <w:footerReference xmlns:r="http://schemas.openxmlformats.org/officeDocument/2006/relationships" r:id="Rcd0166111f3f41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f8545be0043c4" /><Relationship Type="http://schemas.openxmlformats.org/officeDocument/2006/relationships/footer" Target="/word/footer1.xml" Id="Rcd0166111f3f4135" /></Relationships>
</file>