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6af3e1eda46c6" /></Relationships>
</file>

<file path=word/document.xml><?xml version="1.0" encoding="utf-8"?>
<w:document xmlns:w="http://schemas.openxmlformats.org/wordprocessingml/2006/main">
  <w:body>
    <w:p>
      <w:r>
        <w:t>S-0596.1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Stanford, MacEwen, Kuderer, Shewmake, Valdez, and C. Wilson</w:t>
      </w:r>
    </w:p>
    <w:p/>
    <w:p>
      <w:r>
        <w:rPr>
          <w:t xml:space="preserve">Read first time 01/17/23.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 motor carrier's ability to access restroom facilities required by rules authorized under chapter 49.17 RCW; adding a new section to chapter 70.54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54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"Motor carrier" includes "common carrier," "contract carrier," and "private carrier" as defined in RCW 81.80.010.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"Receiver" means a person or business who takes delivery of property, cargo, or materials transported in interstate or intrastate commerce from a motor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"Restroom" means a bathroom facility as required by rules authorized under chapter 49.17 RCW, located on the premises of, and operated by, a shipper or receiver and that is intended for use by customers or employees of the shipper or receiver.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"Shipper" means a person or business who tenders property, cargo, or materials to a motor carrier for transportation in interstate or intrastate commerce.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shipper or receiver required to provide a restroom by rules authorized under chapter 49.17 RCW must allow a motor carrier delivering goods to or picking goods up from a shipper or receiver to use that restroom during normal business hours if: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restroom is located in an area where providing access would not create an obvious health or safety risk to the motor carrier;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Allowing the motor carrier to access the restroom does not pose an obvious security, health, or safety risk to the shipper, receiver, or its employees.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shipper or receiver is not required to make any physical changes to a restroom under this section and may require that an employee accompany a motor carrier to the restroom.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shipper or receiver or an employee of a shipper or receiver is not civilly liable for any act or omission in allowing a motor carrier to use a restroom if the act or omission: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Is not willful or grossly negligent;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Occurs in an area of the shipper or receiver facility that is not accessible to the public;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Results in an injury to or death of the motor carrier or any individual other than an employee accompanying the motor carrier.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(5)(a) The department of health and the department of labor and industries have jurisdiction to enforce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department of health may issue a warning letter to a shipper or receiver for a first violation of this section, informing the shipper or receiver of the requirements of this section. A shipper or receiver that violates this section after receiving a warning letter is guilty of a class 2 civil infraction under chapter 7.80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Failure of a shipper or receiver to comply with this section is a violation of chapter 49.17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department of labor and industries and the department of health may not take duplicate enforcement actions against an individual or business for violations arising from the same conduct.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78f739141ae4673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e83c55c64a01" /><Relationship Type="http://schemas.openxmlformats.org/officeDocument/2006/relationships/footer" Target="/word/footer1.xml" Id="Rd78f739141ae4673" /></Relationships>
</file>