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0e26fcdb84078" /></Relationships>
</file>

<file path=word/document.xml><?xml version="1.0" encoding="utf-8"?>
<w:document xmlns:w="http://schemas.openxmlformats.org/wordprocessingml/2006/main">
  <w:body>
    <w:p>
      <w:r>
        <w:t>S-1228.2</w:t>
      </w:r>
    </w:p>
    <w:p>
      <w:pPr>
        <w:jc w:val="center"/>
      </w:pPr>
      <w:r>
        <w:t>_______________________________________________</w:t>
      </w:r>
    </w:p>
    <w:p/>
    <w:p>
      <w:pPr>
        <w:jc w:val="center"/>
      </w:pPr>
      <w:r>
        <w:rPr>
          <w:b/>
        </w:rPr>
        <w:t>SUBSTITUTE SENATE BILL 5368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Keiser, King, Conway, Schoesler, Randall, Torres,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equitable access to the workers' compensation stay-at-work program by allowing employers to offer off-site light duty return to work opportunities to injured workers; amending RCW 51.32.090;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established the stay-at-work program to reduce long-term disability and the cost of injuries by incentivizing employers to provide injured workers light duty and transitional return-to-work opportunities. Data from the department of labor and industries illustrates that the program has been successful for both workers and employers by lowering the risk of long-term disability and improving mental health and well-being through the return of more workers to positions that allow for the time necessary for healing and rehabilitation.</w:t>
      </w:r>
    </w:p>
    <w:p>
      <w:pPr>
        <w:spacing w:before="0" w:after="0" w:line="408" w:lineRule="exact"/>
        <w:ind w:left="0" w:right="0" w:firstLine="576"/>
        <w:jc w:val="left"/>
      </w:pPr>
      <w:r>
        <w:rPr/>
        <w:t xml:space="preserve">(2) However, current policy only allows for light duty return to work with the employer of injury, limiting opportunities and creating inequities for workers and employers. Small employers are less likely to have suitable light duty jobs. Frontline workers, particularly in small businesses, are less likely to have access to remote light duty work. Injured workers who move out-of-state are also less likely to have access to return-to-work opportunities, especially when the employer of injury cannot offer remote work options. Inequitable access to return to work is more acute for lower wage workers, many of whom are frontline workers. The COVID-19 pandemic has illuminated the particularly limited and inequitable access to return to work between frontline and remote workers.</w:t>
      </w:r>
    </w:p>
    <w:p>
      <w:pPr>
        <w:spacing w:before="0" w:after="0" w:line="408" w:lineRule="exact"/>
        <w:ind w:left="0" w:right="0" w:firstLine="576"/>
        <w:jc w:val="left"/>
      </w:pPr>
      <w:r>
        <w:rPr/>
        <w:t xml:space="preserve">(3) The legislature hereby intends to provide more opportunities for workers to access return to work and for employers to take advantage of the stay-at-work program by allowing flexibility in matching injured workers to temporary positions with local nonprofits to perform light duty work. This is a proven approach that has been successful with return-to-work employment agencies nationally and within the state. This approach preserves all protections for injured workers, reduces claim costs, transitions workers back to productive work more quickly while allowing for recuperation, and benefits local nonprofits by providing experienced workers for important service roles.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a physician or licensed advanced registered nurse practitioner as able to perform available work other than his or her usual work, the employer shall furnish to the physician or licensed advanced registered nurse practitioner, with a copy to the worker, a statement describing the work available with the employer of injury</w:t>
      </w:r>
      <w:r>
        <w:rPr>
          <w:u w:val="single"/>
        </w:rPr>
        <w:t xml:space="preserve">, or with an approved nonprofit pursuant to (m) of this subsection,</w:t>
      </w:r>
      <w:r>
        <w:rPr/>
        <w:t xml:space="preserve"> in terms that will enable the physician or licensed advanced registered nurse practitioner to relate the physical activities of the job to the worker's disability. The physician or licensed advanced registered nurse practitioner shall then determine whether the worker is physically able to perform the work described. The worker's temporary total disability payments shall continue until the worker is released by his or her physician or licensed advanced registered nurse practitioner for the work, and begins the work with the employer of injury </w:t>
      </w:r>
      <w:r>
        <w:rPr>
          <w:u w:val="single"/>
        </w:rPr>
        <w:t xml:space="preserve">or with an approved nonprofit pursuant to (m) of this subsection</w:t>
      </w:r>
      <w:r>
        <w:rPr/>
        <w:t xml:space="preserve">. If the work thereafter comes to an end before the worker's recovery is sufficient in the judgment of his or her physician or licensed advanced registered nurse practitioner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physician or licensed advanced registered nurse practitioner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w:t>
      </w:r>
      <w:r>
        <w:t>((</w:t>
      </w:r>
      <w:r>
        <w:rPr>
          <w:strike/>
        </w:rPr>
        <w:t xml:space="preserve">sixty-six</w:t>
      </w:r>
      <w:r>
        <w:t>))</w:t>
      </w:r>
      <w:r>
        <w:rPr/>
        <w:t xml:space="preserve"> </w:t>
      </w:r>
      <w:r>
        <w:rPr>
          <w:u w:val="single"/>
        </w:rPr>
        <w:t xml:space="preserve">66</w:t>
      </w:r>
      <w:r>
        <w:rPr/>
        <w:t xml:space="preserve"> workdays within a consecutive </w:t>
      </w:r>
      <w:r>
        <w:t>((</w:t>
      </w:r>
      <w:r>
        <w:rPr>
          <w:strike/>
        </w:rPr>
        <w:t xml:space="preserve">twenty-four</w:t>
      </w:r>
      <w:r>
        <w:t>))</w:t>
      </w:r>
      <w:r>
        <w:rPr/>
        <w:t xml:space="preserve"> </w:t>
      </w:r>
      <w:r>
        <w:rPr>
          <w:u w:val="single"/>
        </w:rPr>
        <w:t xml:space="preserve">24-</w:t>
      </w:r>
      <w:r>
        <w:rPr/>
        <w:t xml:space="preserve">month period. In no event may the wage subsidies paid to an employer on a claim exceed </w:t>
      </w:r>
      <w:r>
        <w:t>((</w:t>
      </w:r>
      <w:r>
        <w:rPr>
          <w:strike/>
        </w:rPr>
        <w:t xml:space="preserve">ten thousand dollars</w:t>
      </w:r>
      <w:r>
        <w:t>))</w:t>
      </w:r>
      <w:r>
        <w:rPr/>
        <w:t xml:space="preserve"> </w:t>
      </w:r>
      <w:r>
        <w:rPr>
          <w:u w:val="single"/>
        </w:rPr>
        <w:t xml:space="preserve">$10,000</w:t>
      </w:r>
      <w:r>
        <w:rPr/>
        <w:t xml:space="preserve">.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w:t>
      </w:r>
      <w:r>
        <w:t>((</w:t>
      </w:r>
      <w:r>
        <w:rPr>
          <w:strike/>
        </w:rPr>
        <w:t xml:space="preserve">four hundred dollars</w:t>
      </w:r>
      <w:r>
        <w:t>))</w:t>
      </w:r>
      <w:r>
        <w:rPr/>
        <w:t xml:space="preserve"> </w:t>
      </w:r>
      <w:r>
        <w:rPr>
          <w:u w:val="single"/>
        </w:rPr>
        <w:t xml:space="preserve">$400</w:t>
      </w:r>
      <w:r>
        <w:rPr/>
        <w:t xml:space="preserve">.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w:t>
      </w:r>
      <w:r>
        <w:t>((</w:t>
      </w:r>
      <w:r>
        <w:rPr>
          <w:strike/>
        </w:rPr>
        <w:t xml:space="preserve">two thousand five hundred dollars</w:t>
      </w:r>
      <w:r>
        <w:t>))</w:t>
      </w:r>
      <w:r>
        <w:rPr/>
        <w:t xml:space="preserve"> </w:t>
      </w:r>
      <w:r>
        <w:rPr>
          <w:u w:val="single"/>
        </w:rPr>
        <w:t xml:space="preserve">$2,500</w:t>
      </w:r>
      <w:r>
        <w:rPr/>
        <w:t xml:space="preserve">.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w:t>
      </w:r>
      <w:r>
        <w:t>((</w:t>
      </w:r>
      <w:r>
        <w:rPr>
          <w:strike/>
        </w:rPr>
        <w:t xml:space="preserve">sixty-six</w:t>
      </w:r>
      <w:r>
        <w:t>))</w:t>
      </w:r>
      <w:r>
        <w:rPr/>
        <w:t xml:space="preserve"> </w:t>
      </w:r>
      <w:r>
        <w:rPr>
          <w:u w:val="single"/>
        </w:rPr>
        <w:t xml:space="preserve">66</w:t>
      </w:r>
      <w:r>
        <w:rPr/>
        <w:t xml:space="preserve"> days of work in a consecutive </w:t>
      </w:r>
      <w:r>
        <w:t>((</w:t>
      </w:r>
      <w:r>
        <w:rPr>
          <w:strike/>
        </w:rPr>
        <w:t xml:space="preserve">twenty-four</w:t>
      </w:r>
      <w:r>
        <w:t>))</w:t>
      </w:r>
      <w:r>
        <w:rPr/>
        <w:t xml:space="preserve"> </w:t>
      </w:r>
      <w:r>
        <w:rPr>
          <w:u w:val="single"/>
        </w:rPr>
        <w:t xml:space="preserve">24-</w:t>
      </w:r>
      <w:r>
        <w:rPr/>
        <w:t xml:space="preserve">month period under one claim. An employer may continue to offer work pursuant to this subsection (4) after the worker has performed </w:t>
      </w:r>
      <w:r>
        <w:t>((</w:t>
      </w:r>
      <w:r>
        <w:rPr>
          <w:strike/>
        </w:rPr>
        <w:t xml:space="preserve">sixty-six</w:t>
      </w:r>
      <w:r>
        <w:t>))</w:t>
      </w:r>
      <w:r>
        <w:rPr/>
        <w:t xml:space="preserve"> </w:t>
      </w:r>
      <w:r>
        <w:rPr>
          <w:u w:val="single"/>
        </w:rPr>
        <w:t xml:space="preserve">66</w:t>
      </w:r>
      <w:r>
        <w:rPr/>
        <w:t xml:space="preserve">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physician or licensed advanced registered nurse practitioner has restricted him or her from performing his or her usual work and the worker's physician or licensed advanced registered nurse practitioner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physician or licensed advanced registered nurse practitioner. An employer who directs a claimant to perform work other than that approved by the attending physician and without the approval of the worker's physician or licensed advanced registered nurse practitioner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u w:val="single"/>
        </w:rPr>
        <w:t xml:space="preserve">(m) An employer with 100 or fewer employees may offer off-site light duty return to work to a worker pursuant to this subsection (4) with an established nonprofit organization approved by the department, subject to the following parameters and conditions:</w:t>
      </w:r>
    </w:p>
    <w:p>
      <w:pPr>
        <w:spacing w:before="0" w:after="0" w:line="408" w:lineRule="exact"/>
        <w:ind w:left="0" w:right="0" w:firstLine="576"/>
        <w:jc w:val="left"/>
      </w:pPr>
      <w:r>
        <w:rPr>
          <w:u w:val="single"/>
        </w:rPr>
        <w:t xml:space="preserve">(i) The employer of injury may not disclose the worker's medical restrictions with the nonprofit organization without the worker's written consent. If the worker does not consent to the disclosure of their medical restrictions with the nonprofit organization, any approved light duty work must be with the employer of injury;</w:t>
      </w:r>
    </w:p>
    <w:p>
      <w:pPr>
        <w:spacing w:before="0" w:after="0" w:line="408" w:lineRule="exact"/>
        <w:ind w:left="0" w:right="0" w:firstLine="576"/>
        <w:jc w:val="left"/>
      </w:pPr>
      <w:r>
        <w:rPr>
          <w:u w:val="single"/>
        </w:rPr>
        <w:t xml:space="preserve">(ii) The employer of injury remains accountable for all reporting requirements;</w:t>
      </w:r>
    </w:p>
    <w:p>
      <w:pPr>
        <w:spacing w:before="0" w:after="0" w:line="408" w:lineRule="exact"/>
        <w:ind w:left="0" w:right="0" w:firstLine="576"/>
        <w:jc w:val="left"/>
      </w:pPr>
      <w:r>
        <w:rPr>
          <w:u w:val="single"/>
        </w:rPr>
        <w:t xml:space="preserve">(iii) The employer of injury remains responsible for any new injury or occupational disease incurred while the worker is on off-site light duty return to work;</w:t>
      </w:r>
    </w:p>
    <w:p>
      <w:pPr>
        <w:spacing w:before="0" w:after="0" w:line="408" w:lineRule="exact"/>
        <w:ind w:left="0" w:right="0" w:firstLine="576"/>
        <w:jc w:val="left"/>
      </w:pPr>
      <w:r>
        <w:rPr>
          <w:u w:val="single"/>
        </w:rPr>
        <w:t xml:space="preserve">(iv) The injured worker does not forfeit any protections or benefits afforded to them under this title, and the injured worker may reject an off-site light duty return-to-work offer or otherwise terminate the off-site light duty return to work with the nonprofit organization, in which case his or her temporary total disability payments must continue or be resumed;</w:t>
      </w:r>
    </w:p>
    <w:p>
      <w:pPr>
        <w:spacing w:before="0" w:after="0" w:line="408" w:lineRule="exact"/>
        <w:ind w:left="0" w:right="0" w:firstLine="576"/>
        <w:jc w:val="left"/>
      </w:pPr>
      <w:r>
        <w:rPr>
          <w:u w:val="single"/>
        </w:rPr>
        <w:t xml:space="preserve">(v) Except as otherwise provided under this subsection (4)(m), the offer of off-site light duty return to work with the nonprofit is subject to the same parameters and conditions as an offer of available work with the employer of injury;</w:t>
      </w:r>
    </w:p>
    <w:p>
      <w:pPr>
        <w:spacing w:before="0" w:after="0" w:line="408" w:lineRule="exact"/>
        <w:ind w:left="0" w:right="0" w:firstLine="576"/>
        <w:jc w:val="left"/>
      </w:pPr>
      <w:r>
        <w:rPr>
          <w:u w:val="single"/>
        </w:rPr>
        <w:t xml:space="preserve">(vi) The employer of injury may be eligible for reimbursement under (c) through (g) of this subsection if the department determines the employer qualifies; and</w:t>
      </w:r>
    </w:p>
    <w:p>
      <w:pPr>
        <w:spacing w:before="0" w:after="0" w:line="408" w:lineRule="exact"/>
        <w:ind w:left="0" w:right="0" w:firstLine="576"/>
        <w:jc w:val="left"/>
      </w:pPr>
      <w:r>
        <w:rPr>
          <w:u w:val="single"/>
        </w:rPr>
        <w:t xml:space="preserve">(vii) The injured worker's experience gained through off-site light duty return to work with the nonprofit organization may not be construed as acquisition of transferable skills and does not disqualify the injured worker from accessing vocational rehabilitation services or other retraining programs available under this title.</w:t>
      </w:r>
    </w:p>
    <w:p>
      <w:pPr>
        <w:spacing w:before="0" w:after="0" w:line="408" w:lineRule="exact"/>
        <w:ind w:left="0" w:right="0" w:firstLine="576"/>
        <w:jc w:val="left"/>
      </w:pPr>
      <w:r>
        <w:rPr>
          <w:u w:val="single"/>
        </w:rPr>
        <w:t xml:space="preserve">(n) The department or the employer of injury may contract with an established return-to-work employment agency for the purpose of offering an injured worker off-site light duty return to work with a nonprofit organization.</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w:t>
      </w:r>
      <w:r>
        <w:t>((</w:t>
      </w:r>
      <w:r>
        <w:rPr>
          <w:strike/>
        </w:rPr>
        <w:t xml:space="preserve">fourteen</w:t>
      </w:r>
      <w:r>
        <w:t>))</w:t>
      </w:r>
      <w:r>
        <w:rPr/>
        <w:t xml:space="preserve"> </w:t>
      </w:r>
      <w:r>
        <w:rPr>
          <w:u w:val="single"/>
        </w:rPr>
        <w:t xml:space="preserve">14</w:t>
      </w:r>
      <w:r>
        <w:rPr/>
        <w:t xml:space="preserve">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w:t>
      </w:r>
      <w:r>
        <w:t>((</w:t>
      </w:r>
      <w:r>
        <w:rPr>
          <w:strike/>
        </w:rPr>
        <w:t xml:space="preserve">fifteen</w:t>
      </w:r>
      <w:r>
        <w:t>))</w:t>
      </w:r>
      <w:r>
        <w:rPr/>
        <w:t xml:space="preserve"> </w:t>
      </w:r>
      <w:r>
        <w:rPr>
          <w:u w:val="single"/>
        </w:rPr>
        <w:t xml:space="preserve">15</w:t>
      </w:r>
      <w:r>
        <w:rPr/>
        <w:t xml:space="preserve"> percent of the average monthly wage in the state as computed under RCW 51.08.018 plus an additional </w:t>
      </w:r>
      <w:r>
        <w:t>((</w:t>
      </w:r>
      <w:r>
        <w:rPr>
          <w:strike/>
        </w:rPr>
        <w:t xml:space="preserve">ten dollars</w:t>
      </w:r>
      <w:r>
        <w:t>))</w:t>
      </w:r>
      <w:r>
        <w:rPr/>
        <w:t xml:space="preserve"> </w:t>
      </w:r>
      <w:r>
        <w:rPr>
          <w:u w:val="single"/>
        </w:rPr>
        <w:t xml:space="preserve">$10</w:t>
      </w:r>
      <w:r>
        <w:rPr/>
        <w:t xml:space="preserve"> per month if the worker is married and an additional </w:t>
      </w:r>
      <w:r>
        <w:t>((</w:t>
      </w:r>
      <w:r>
        <w:rPr>
          <w:strike/>
        </w:rPr>
        <w:t xml:space="preserve">ten dollars</w:t>
      </w:r>
      <w:r>
        <w:t>))</w:t>
      </w:r>
      <w:r>
        <w:rPr/>
        <w:t xml:space="preserve"> </w:t>
      </w:r>
      <w:r>
        <w:rPr>
          <w:u w:val="single"/>
        </w:rPr>
        <w:t xml:space="preserve">$10</w:t>
      </w:r>
      <w:r>
        <w:rPr/>
        <w:t xml:space="preserve"> per month for each child of the worker up to a maximum of five children. However, if the monthly payment computed under this subsection (9)(b) is greater than </w:t>
      </w:r>
      <w:r>
        <w:t>((</w:t>
      </w:r>
      <w:r>
        <w:rPr>
          <w:strike/>
        </w:rPr>
        <w:t xml:space="preserve">one hundred</w:t>
      </w:r>
      <w:r>
        <w:t>))</w:t>
      </w:r>
      <w:r>
        <w:rPr/>
        <w:t xml:space="preserve"> </w:t>
      </w:r>
      <w:r>
        <w:rPr>
          <w:u w:val="single"/>
        </w:rPr>
        <w:t xml:space="preserve">100</w:t>
      </w:r>
      <w:r>
        <w:rPr/>
        <w:t xml:space="preserve">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42a6201100464e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96ba05674f49f0" /><Relationship Type="http://schemas.openxmlformats.org/officeDocument/2006/relationships/footer" Target="/word/footer1.xml" Id="R42a6201100464e52" /></Relationships>
</file>