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e2166951141d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5284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Nguyen, Billig, Frame, Hunt, Keiser, Kuderer, Shewmake, and C. Wilson; by request of Public Disclosure Commission)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commercial advertising requirements related to the disclosure of political advertising and electioneering communications; amending RCW 42.17A.345;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electioneering communications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electioneering communications;</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the commercial advertiser is required to maintain, as provided by this section or rule.</w:t>
      </w:r>
    </w:p>
    <w:p>
      <w:pPr>
        <w:spacing w:before="0" w:after="0" w:line="408" w:lineRule="exact"/>
        <w:ind w:left="0" w:right="0" w:firstLine="576"/>
        <w:jc w:val="left"/>
      </w:pPr>
      <w:r>
        <w:rPr>
          <w:u w:val="single"/>
        </w:rPr>
        <w:t xml:space="preserve">(4) Any failure to provide the required information in subsection (3) of this section upon request is a violation under this chapter, but such failure shall not relieve a commercial advertiser of any of the requirements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afdd18ad89a41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85ba61dda94065" /><Relationship Type="http://schemas.openxmlformats.org/officeDocument/2006/relationships/footer" Target="/word/footer1.xml" Id="Raafdd18ad89a41dd" /></Relationships>
</file>