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6b79c8a13c4cee" /></Relationships>
</file>

<file path=word/document.xml><?xml version="1.0" encoding="utf-8"?>
<w:document xmlns:w="http://schemas.openxmlformats.org/wordprocessingml/2006/main">
  <w:body>
    <w:p>
      <w:r>
        <w:t>S-1487.1</w:t>
      </w:r>
    </w:p>
    <w:p>
      <w:pPr>
        <w:jc w:val="center"/>
      </w:pPr>
      <w:r>
        <w:t>_______________________________________________</w:t>
      </w:r>
    </w:p>
    <w:p/>
    <w:p>
      <w:pPr>
        <w:jc w:val="center"/>
      </w:pPr>
      <w:r>
        <w:rPr>
          <w:b/>
        </w:rPr>
        <w:t>SUBSTITUTE SENATE BILL 5259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Keiser, King, Conway, Lovick, Hunt, Kuderer, Nobles, and C. Wilson)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commerce and workplaces are safe from product theft; amending RCW 69.50.535; adding a new section to chapter 82.04 RCW; adding a new chapter to Title 19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safety of our retail commerce and our retail workforce are threatened by increased product theft. Washington retailers are estimated to have lost $2,700,000,000 to organized retail crime in 2021. Federal crime statistics show that the number of assaults in retail establishments increased at a faster pace than the national average between 2018 and 2020. Washington's retail cannabis businesses reported increased armed robberies throughout 2022. These crimes endanger employees and cause substantial economic harm to our state.</w:t>
      </w:r>
    </w:p>
    <w:p>
      <w:pPr>
        <w:spacing w:before="0" w:after="0" w:line="408" w:lineRule="exact"/>
        <w:ind w:left="0" w:right="0" w:firstLine="576"/>
        <w:jc w:val="left"/>
      </w:pPr>
      <w:r>
        <w:rPr/>
        <w:t xml:space="preserve">(2) The legislature intends to establish an organized retail theft task force to improve coordination and collaboration among law enforcement agencies to address organized retail theft. It also intends to increase required safety measures in retail workplaces and protect retail workers from certain employment actions when product theft occurs at their workplace, with certain conditions.</w:t>
      </w:r>
    </w:p>
    <w:p>
      <w:pPr>
        <w:spacing w:before="0" w:after="0" w:line="408" w:lineRule="exact"/>
        <w:ind w:left="0" w:right="0" w:firstLine="576"/>
        <w:jc w:val="left"/>
      </w:pPr>
      <w:r>
        <w:rPr/>
        <w:t xml:space="preserve">(3) The legislature also intends to provide relief to retailers impacted by the cost of physical security improvements to prevent theft at cannabis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organized retail theft task force is established to improve coordination and collaboration among law enforcement agencies.</w:t>
      </w:r>
    </w:p>
    <w:p>
      <w:pPr>
        <w:spacing w:before="0" w:after="0" w:line="408" w:lineRule="exact"/>
        <w:ind w:left="0" w:right="0" w:firstLine="576"/>
        <w:jc w:val="left"/>
      </w:pPr>
      <w:r>
        <w:rPr/>
        <w:t xml:space="preserve">(2) The attorney general must appoint members on the task force and may increase or decrease the size of the task force as deemed necessary by the attorney general.</w:t>
      </w:r>
    </w:p>
    <w:p>
      <w:pPr>
        <w:spacing w:before="0" w:after="0" w:line="408" w:lineRule="exact"/>
        <w:ind w:left="0" w:right="0" w:firstLine="576"/>
        <w:jc w:val="left"/>
      </w:pPr>
      <w:r>
        <w:rPr/>
        <w:t xml:space="preserve">(3) Staff support for the task force must be provided by the office of the attorney general.</w:t>
      </w:r>
    </w:p>
    <w:p>
      <w:pPr>
        <w:spacing w:before="0" w:after="0" w:line="408" w:lineRule="exact"/>
        <w:ind w:left="0" w:right="0" w:firstLine="576"/>
        <w:jc w:val="left"/>
      </w:pPr>
      <w:r>
        <w:rPr/>
        <w:t xml:space="preserve">(4) The task force must work with mercantile establishments and associations representing mercantile establishments on collecting and aggregating data on incidents of organized retail theft. Mercantile establishments that experience incidents of organized retail theft must report incidents to the task force.</w:t>
      </w:r>
    </w:p>
    <w:p>
      <w:pPr>
        <w:spacing w:before="0" w:after="0" w:line="408" w:lineRule="exact"/>
        <w:ind w:left="0" w:right="0" w:firstLine="576"/>
        <w:jc w:val="left"/>
      </w:pPr>
      <w:r>
        <w:rPr/>
        <w:t xml:space="preserve">(5) The task force must work with the liquor and cannabis board and their retail licensees to collect and aggregate data on significant incidents of theft, burglary, and robbery. Liquor and cannabis board retail licensees must report significant incidents of theft, burglary, and robbery to the task force.</w:t>
      </w:r>
    </w:p>
    <w:p>
      <w:pPr>
        <w:spacing w:before="0" w:after="0" w:line="408" w:lineRule="exact"/>
        <w:ind w:left="0" w:right="0" w:firstLine="576"/>
        <w:jc w:val="left"/>
      </w:pPr>
      <w:r>
        <w:rPr/>
        <w:t xml:space="preserve">(6) The attorney general must regularly transmit to the Washington association of sheriffs and police chiefs any data received by the task force regarding incidents of organized retail theft under RCW 9A.56.350 reported pursuant to this section. The Washington association of sheriffs and police chiefs must remit such information to the appropriate Washington law enforcement agencies. Incidents of organized retail theft under RCW 9A.56.350 reported, transmitted, or remitted pursuant to this section are exempt from public inspection and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 and 5, chapter . . ., Laws of 2023 (sections 4 and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provided in RCW 82.32.808(2)(a).</w:t>
      </w:r>
    </w:p>
    <w:p>
      <w:pPr>
        <w:spacing w:before="0" w:after="0" w:line="408" w:lineRule="exact"/>
        <w:ind w:left="0" w:right="0" w:firstLine="576"/>
        <w:jc w:val="left"/>
      </w:pPr>
      <w:r>
        <w:rPr/>
        <w:t xml:space="preserve">(3) It is the legislature's specific public policy objective to reduce theft at retailers in Washington. The legislature further acknowledges that security improvements are expensive, and the cost may not be feasible for all businesses. The tax preferences under this act are intended to incentivize retailers to implement security precautions that reduce or prevent theft and ensure that such measures are accessible to all retailers.</w:t>
      </w:r>
    </w:p>
    <w:p>
      <w:pPr>
        <w:spacing w:before="0" w:after="0" w:line="408" w:lineRule="exact"/>
        <w:ind w:left="0" w:right="0" w:firstLine="576"/>
        <w:jc w:val="left"/>
      </w:pPr>
      <w:r>
        <w:rPr/>
        <w:t xml:space="preserve">(4)(a) The joint legislative audit and review committee must review the effectiveness of the tax preferences in sections 4 and 5 of this act in achieving the public policy objectives described in subsection (3) of this section. The review must include an evaluation of the following:</w:t>
      </w:r>
    </w:p>
    <w:p>
      <w:pPr>
        <w:spacing w:before="0" w:after="0" w:line="408" w:lineRule="exact"/>
        <w:ind w:left="0" w:right="0" w:firstLine="576"/>
        <w:jc w:val="left"/>
      </w:pPr>
      <w:r>
        <w:rPr/>
        <w:t xml:space="preserve">(i) The amount of retailers in this state that make security improvements and use the tax preference in section 4 or 5 of this act; and</w:t>
      </w:r>
    </w:p>
    <w:p>
      <w:pPr>
        <w:spacing w:before="0" w:after="0" w:line="408" w:lineRule="exact"/>
        <w:ind w:left="0" w:right="0" w:firstLine="576"/>
        <w:jc w:val="left"/>
      </w:pPr>
      <w:r>
        <w:rPr/>
        <w:t xml:space="preserve">(ii) The type and cost of security improvements; and</w:t>
      </w:r>
    </w:p>
    <w:p>
      <w:pPr>
        <w:spacing w:before="0" w:after="0" w:line="408" w:lineRule="exact"/>
        <w:ind w:left="0" w:right="0" w:firstLine="576"/>
        <w:jc w:val="left"/>
      </w:pPr>
      <w:r>
        <w:rPr/>
        <w:t xml:space="preserve">(iii) The amount of theft incidents occurring at retailers identified under (a)(i) of this subsection prior to and after using the tax preference in section 4 or 5 of this act.</w:t>
      </w:r>
    </w:p>
    <w:p>
      <w:pPr>
        <w:spacing w:before="0" w:after="0" w:line="408" w:lineRule="exact"/>
        <w:ind w:left="0" w:right="0" w:firstLine="576"/>
        <w:jc w:val="left"/>
      </w:pPr>
      <w:r>
        <w:rPr/>
        <w:t xml:space="preserve">(b) If a review finds that the number of retailers implementing security improvements in this state has increased, and corresponds with a decrease in retail theft, then the legislature intends to extend the expiration date of these tax preferences.</w:t>
      </w:r>
    </w:p>
    <w:p>
      <w:pPr>
        <w:spacing w:before="0" w:after="0" w:line="408" w:lineRule="exact"/>
        <w:ind w:left="0" w:right="0" w:firstLine="576"/>
        <w:jc w:val="left"/>
      </w:pPr>
      <w:r>
        <w:rPr/>
        <w:t xml:space="preserve">(5) The joint legislative audit and review committee may use any data source it deems necessary in performing the evaluation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person is allowed a credit against the tax due under this chapter for physical security improvements to a mercantile establishment, as provided in this section.</w:t>
      </w:r>
    </w:p>
    <w:p>
      <w:pPr>
        <w:spacing w:before="0" w:after="0" w:line="408" w:lineRule="exact"/>
        <w:ind w:left="0" w:right="0" w:firstLine="576"/>
        <w:jc w:val="left"/>
      </w:pPr>
      <w:r>
        <w:rPr/>
        <w:t xml:space="preserve">(b) The credit equals the amount spent by the person on physical security improvements to a mercantile establishment owned by the person claiming the credit.</w:t>
      </w:r>
    </w:p>
    <w:p>
      <w:pPr>
        <w:spacing w:before="0" w:after="0" w:line="408" w:lineRule="exact"/>
        <w:ind w:left="0" w:right="0" w:firstLine="576"/>
        <w:jc w:val="left"/>
      </w:pPr>
      <w:r>
        <w:rPr/>
        <w:t xml:space="preserve">(2) The credit established in this section may be claimed on physical security improvements made by the person in the previous four quarters and may not exceed $3,000 in each calendar year.</w:t>
      </w:r>
    </w:p>
    <w:p>
      <w:pPr>
        <w:spacing w:before="0" w:after="0" w:line="408" w:lineRule="exact"/>
        <w:ind w:left="0" w:right="0" w:firstLine="576"/>
        <w:jc w:val="left"/>
      </w:pPr>
      <w:r>
        <w:rPr/>
        <w:t xml:space="preserve">(3) This section only applies to qualifying purchases made on or after the effective date of this section.</w:t>
      </w:r>
    </w:p>
    <w:p>
      <w:pPr>
        <w:spacing w:before="0" w:after="0" w:line="408" w:lineRule="exact"/>
        <w:ind w:left="0" w:right="0" w:firstLine="576"/>
        <w:jc w:val="left"/>
      </w:pPr>
      <w:r>
        <w:rPr/>
        <w:t xml:space="preserve">(4)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(5)(a) To claim a credit under this section, a person must:</w:t>
      </w:r>
    </w:p>
    <w:p>
      <w:pPr>
        <w:spacing w:before="0" w:after="0" w:line="408" w:lineRule="exact"/>
        <w:ind w:left="0" w:right="0" w:firstLine="576"/>
        <w:jc w:val="left"/>
      </w:pPr>
      <w:r>
        <w:rPr/>
        <w:t xml:space="preserve">(i) Apply with the department in a form prescribed by the department prior to claiming the credit; and</w:t>
      </w:r>
    </w:p>
    <w:p>
      <w:pPr>
        <w:spacing w:before="0" w:after="0" w:line="408" w:lineRule="exact"/>
        <w:ind w:left="0" w:right="0" w:firstLine="576"/>
        <w:jc w:val="left"/>
      </w:pPr>
      <w:r>
        <w:rPr/>
        <w:t xml:space="preserve">(ii)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(b) The department must approve or deny applications for the credit established in this section within 60 days of receipt of the application.</w:t>
      </w:r>
    </w:p>
    <w:p>
      <w:pPr>
        <w:spacing w:before="0" w:after="0" w:line="408" w:lineRule="exact"/>
        <w:ind w:left="0" w:right="0" w:firstLine="576"/>
        <w:jc w:val="left"/>
      </w:pPr>
      <w:r>
        <w:rPr/>
        <w:t xml:space="preserve">(c) A person may claim the credit established under this section once the department approves their application.</w:t>
      </w:r>
    </w:p>
    <w:p>
      <w:pPr>
        <w:spacing w:before="0" w:after="0" w:line="408" w:lineRule="exact"/>
        <w:ind w:left="0" w:right="0" w:firstLine="576"/>
        <w:jc w:val="left"/>
      </w:pPr>
      <w:r>
        <w:rPr/>
        <w:t xml:space="preserve">(6) The credit claimed under this section may not exceed the amount of tax due and may not be refunded.</w:t>
      </w:r>
    </w:p>
    <w:p>
      <w:pPr>
        <w:spacing w:before="0" w:after="0" w:line="408" w:lineRule="exact"/>
        <w:ind w:left="0" w:right="0" w:firstLine="576"/>
        <w:jc w:val="left"/>
      </w:pPr>
      <w:r>
        <w:rPr/>
        <w:t xml:space="preserve">(7) Credits may be claimed after June 30, 2030, for purchases made before June 30, 2030, subject to the eligibility criteria and limitations in this section.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"Mercantile establishment" means a place of business for retailing goods; and</w:t>
      </w:r>
    </w:p>
    <w:p>
      <w:pPr>
        <w:spacing w:before="0" w:after="0" w:line="408" w:lineRule="exact"/>
        <w:ind w:left="0" w:right="0" w:firstLine="576"/>
        <w:jc w:val="left"/>
      </w:pPr>
      <w:r>
        <w:rPr/>
        <w:t xml:space="preserve">(b) "Physical security improvements" means physical improvements, additions, or other similar changes to a mercantile establishment exclusively for the purposes of preventing the theft of merchandise including, but not limited to: Security cameras, antitheft mirrors, antitheft signage, merchandising security equipment such as secure stands or mounts, locking display cases or display locks, electronic article surveillance, and storefront crash barriers or safety bollards.</w:t>
      </w:r>
    </w:p>
    <w:p>
      <w:pPr>
        <w:spacing w:before="0" w:after="0" w:line="408" w:lineRule="exact"/>
        <w:ind w:left="0" w:right="0" w:firstLine="576"/>
        <w:jc w:val="left"/>
      </w:pPr>
      <w:r>
        <w:rPr/>
        <w:t xml:space="preserve">(9) This section expires June 30,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2022 c 16 s 101 are each amended to read as follows:</w:t>
      </w:r>
    </w:p>
    <w:p>
      <w:pPr>
        <w:spacing w:before="0" w:after="0" w:line="408" w:lineRule="exact"/>
        <w:ind w:left="0" w:right="0" w:firstLine="576"/>
        <w:jc w:val="left"/>
      </w:pPr>
      <w:r>
        <w:rPr/>
        <w:t xml:space="preserve">(1)(a) </w:t>
      </w:r>
      <w:r>
        <w:t>((</w:t>
      </w:r>
      <w:r>
        <w:rPr>
          <w:strike/>
        </w:rPr>
        <w:t xml:space="preserve">There</w:t>
      </w:r>
      <w:r>
        <w:t>))</w:t>
      </w:r>
      <w:r>
        <w:rPr/>
        <w:t xml:space="preserve"> </w:t>
      </w:r>
      <w:r>
        <w:rPr>
          <w:u w:val="single"/>
        </w:rPr>
        <w:t xml:space="preserve">Except for retailers that qualify for the tax rate under (b) of this subsection, there</w:t>
      </w:r>
      <w:r>
        <w:rPr/>
        <w:t xml:space="preserve"> is levied and collected a cannabis excise tax equal to thirty-seven percent of the selling price on each retail sale in this state of cannabis concentrates, useable cannabis, and cannabis-infused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w:t>
      </w:r>
      <w:r>
        <w:rPr>
          <w:u w:val="single"/>
        </w:rPr>
        <w:t xml:space="preserve">(i) The cannabis excise tax established in (a) of this subsection is 32 percent for cannabis retailers that spend $3,000 or more for physical security improvements to prevent theft at any single cannabis retail establishment in a calendar year. The reduced rate begins the month after the $3,000 threshold is met and expires after 12 months. The reduced tax rate established in this section only applies to cannabis retail stores at which the physical security improvements were implemented. The reduced tax may be applied to multiple cannabis retail stores owned by the same person if the $3,000 threshold is met at each individual retail store. The reduced tax rate established in this subsection (1)(b)(i) may only be claimed once for each cannabis retail establishment.</w:t>
      </w:r>
    </w:p>
    <w:p>
      <w:pPr>
        <w:spacing w:before="0" w:after="0" w:line="408" w:lineRule="exact"/>
        <w:ind w:left="0" w:right="0" w:firstLine="576"/>
        <w:jc w:val="left"/>
      </w:pPr>
      <w:r>
        <w:rPr>
          <w:u w:val="single"/>
        </w:rPr>
        <w:t xml:space="preserve">(ii) For the purposes of this subsection (1)(b), "physical security improvements" means physical improvements, additions, or other similar changes to a cannabis retail establishment exclusively for the purposes of preventing the theft of merchandise including, but not limited to: Security cameras, antitheft mirrors, antitheft signage, merchandising security equipment such as secure stands or mounts, locking display cases or display locks, electronic article surveillance, and storefront crash barriers or safety bollards.</w:t>
      </w:r>
    </w:p>
    <w:p>
      <w:pPr>
        <w:spacing w:before="0" w:after="0" w:line="408" w:lineRule="exact"/>
        <w:ind w:left="0" w:right="0" w:firstLine="576"/>
        <w:jc w:val="left"/>
      </w:pPr>
      <w:r>
        <w:rPr>
          <w:u w:val="single"/>
        </w:rPr>
        <w:t xml:space="preserve">(c)</w:t>
      </w:r>
      <w:r>
        <w:rPr/>
        <w:t xml:space="preserve"> The tax levied in this section must be reflected in the price list or quoted shelf price in the licensed cannabis retail store and in any advertising that includes prices for all useable cannabis, cannabis concentrates, or cannabis-infused products.</w:t>
      </w:r>
    </w:p>
    <w:p>
      <w:pPr>
        <w:spacing w:before="0" w:after="0" w:line="408" w:lineRule="exact"/>
        <w:ind w:left="0" w:right="0" w:firstLine="576"/>
        <w:jc w:val="left"/>
      </w:pPr>
      <w:r>
        <w:rPr/>
        <w:t xml:space="preserve">(2) All revenues collected from the cannabis excise tax imposed under this section must be deposited each day in the dedicated cannabis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cannabis, cannabis concentrates, useable cannabis, and cannabis-infused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cannabis tax change;</w:t>
      </w:r>
    </w:p>
    <w:p>
      <w:pPr>
        <w:spacing w:before="0" w:after="0" w:line="408" w:lineRule="exact"/>
        <w:ind w:left="0" w:right="0" w:firstLine="576"/>
        <w:jc w:val="left"/>
      </w:pPr>
      <w:r>
        <w:rPr/>
        <w:t xml:space="preserve">(iii) The increase or decrease in the volume of legal cannabis sold prior to and after any cannabis tax change;</w:t>
      </w:r>
    </w:p>
    <w:p>
      <w:pPr>
        <w:spacing w:before="0" w:after="0" w:line="408" w:lineRule="exact"/>
        <w:ind w:left="0" w:right="0" w:firstLine="576"/>
        <w:jc w:val="left"/>
      </w:pPr>
      <w:r>
        <w:rPr/>
        <w:t xml:space="preserve">(iv) Increases or decreases in the number of licensed cannabis producers, processors, and retailers;</w:t>
      </w:r>
    </w:p>
    <w:p>
      <w:pPr>
        <w:spacing w:before="0" w:after="0" w:line="408" w:lineRule="exact"/>
        <w:ind w:left="0" w:right="0" w:firstLine="576"/>
        <w:jc w:val="left"/>
      </w:pPr>
      <w:r>
        <w:rPr/>
        <w:t xml:space="preserve">(v) The number of illegal and noncompliant cannabis outlets the board requires to be closed;</w:t>
      </w:r>
    </w:p>
    <w:p>
      <w:pPr>
        <w:spacing w:before="0" w:after="0" w:line="408" w:lineRule="exact"/>
        <w:ind w:left="0" w:right="0" w:firstLine="576"/>
        <w:jc w:val="left"/>
      </w:pPr>
      <w:r>
        <w:rPr/>
        <w:t xml:space="preserve">(vi) Gross cannabis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0" w:after="0" w:line="408" w:lineRule="exact"/>
        <w:ind w:left="0" w:right="0" w:firstLine="576"/>
        <w:jc w:val="left"/>
      </w:pPr>
      <w:r>
        <w:rPr>
          <w:u w:val="single"/>
        </w:rPr>
        <w:t xml:space="preserve">(7)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an unfair practice for a retail establishment with 50 or more employees to suspend without pay, terminate from employment, or to discriminate in employment against an individual, because that individual, on or in the immediate vicinity of the premises of a mercantile establishment, engaged, intervened, or attempted to intervene with a person for the purpose of investigation or questioning as to the ownership of any merchandise, provided:</w:t>
      </w:r>
    </w:p>
    <w:p>
      <w:pPr>
        <w:spacing w:before="0" w:after="0" w:line="408" w:lineRule="exact"/>
        <w:ind w:left="0" w:right="0" w:firstLine="576"/>
        <w:jc w:val="left"/>
      </w:pPr>
      <w:r>
        <w:rPr/>
        <w:t xml:space="preserve">(a) The employee does not single out, profile, or in any way select the person for the engagement, intervention, or attempted intervention based on the person's actual or perceived race, creed, color, national origin, citizenship or immigration status, sex, sexual orientation, age, honorably discharged veteran or military status, or the presence of any sensory, mental, or physical disability;</w:t>
      </w:r>
    </w:p>
    <w:p>
      <w:pPr>
        <w:spacing w:before="0" w:after="0" w:line="408" w:lineRule="exact"/>
        <w:ind w:left="0" w:right="0" w:firstLine="576"/>
        <w:jc w:val="left"/>
      </w:pPr>
      <w:r>
        <w:rPr/>
        <w:t xml:space="preserve">(b) The employee does not physically detain or restrain said person;</w:t>
      </w:r>
    </w:p>
    <w:p>
      <w:pPr>
        <w:spacing w:before="0" w:after="0" w:line="408" w:lineRule="exact"/>
        <w:ind w:left="0" w:right="0" w:firstLine="576"/>
        <w:jc w:val="left"/>
      </w:pPr>
      <w:r>
        <w:rPr/>
        <w:t xml:space="preserve">(c) The person is engaged in a reasonable manner and for not more than a reasonable time to permit such investigation or questioning by a peace officer or by the owner of the mercantile establishment or his or her authorized employee or designated agent; and</w:t>
      </w:r>
    </w:p>
    <w:p>
      <w:pPr>
        <w:spacing w:before="0" w:after="0" w:line="408" w:lineRule="exact"/>
        <w:ind w:left="0" w:right="0" w:firstLine="576"/>
        <w:jc w:val="left"/>
      </w:pPr>
      <w:r>
        <w:rPr/>
        <w:t xml:space="preserve">(d) The employee had reasonable grounds to believe that the person was committing or attempting to commit theft on such premises of such merchandise.</w:t>
      </w:r>
    </w:p>
    <w:p>
      <w:pPr>
        <w:spacing w:before="0" w:after="0" w:line="408" w:lineRule="exact"/>
        <w:ind w:left="0" w:right="0" w:firstLine="576"/>
        <w:jc w:val="left"/>
      </w:pPr>
      <w:r>
        <w:rPr/>
        <w:t xml:space="preserve">(2) It is an unfair practice for a retail establishment to suspend without pay, terminate from employment, or to discriminate in employment against an individual, because that individual:</w:t>
      </w:r>
    </w:p>
    <w:p>
      <w:pPr>
        <w:spacing w:before="0" w:after="0" w:line="408" w:lineRule="exact"/>
        <w:ind w:left="0" w:right="0" w:firstLine="576"/>
        <w:jc w:val="left"/>
      </w:pPr>
      <w:r>
        <w:rPr/>
        <w:t xml:space="preserve">(a) Notified or summoned law enforcement to report an incident of organized retail theft under RCW 9A.56.350; or</w:t>
      </w:r>
    </w:p>
    <w:p>
      <w:pPr>
        <w:spacing w:before="0" w:after="0" w:line="408" w:lineRule="exact"/>
        <w:ind w:left="0" w:right="0" w:firstLine="576"/>
        <w:jc w:val="left"/>
      </w:pPr>
      <w:r>
        <w:rPr/>
        <w:t xml:space="preserve">(b) Otherwise cooperates with an official law enforcement investigation into organized retail theft under RCW 9A.56.350.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"Reasonable grounds" includes, but is not limited to, knowledge that a person has possession of unpurchased merchandise of a mercantile establishment; and</w:t>
      </w:r>
    </w:p>
    <w:p>
      <w:pPr>
        <w:spacing w:before="0" w:after="0" w:line="408" w:lineRule="exact"/>
        <w:ind w:left="0" w:right="0" w:firstLine="576"/>
        <w:jc w:val="left"/>
      </w:pPr>
      <w:r>
        <w:rPr/>
        <w:t xml:space="preserve">(b) "Reasonable time" means the time necessary to permit the person detained to make a statement or to refuse to make a statement, and the time necessary to examine employees and records of the mercantile establishment relative to the ownership of the merchandise.</w:t>
      </w:r>
    </w:p>
    <w:p>
      <w:pPr>
        <w:spacing w:before="0" w:after="0" w:line="408" w:lineRule="exact"/>
        <w:ind w:left="0" w:right="0" w:firstLine="576"/>
        <w:jc w:val="left"/>
      </w:pPr>
      <w:r>
        <w:rPr/>
        <w:t xml:space="preserve">(4)(a) After an employee or former employee has exhausted administrative remedies, an employer who violates this section is liable to the impacted employee or former employee in a civil cause of action for actual or statutory damages of $10,000, whichever is more, as well as reasonable attorneys' fees and costs.</w:t>
      </w:r>
    </w:p>
    <w:p>
      <w:pPr>
        <w:spacing w:before="0" w:after="0" w:line="408" w:lineRule="exact"/>
        <w:ind w:left="0" w:right="0" w:firstLine="576"/>
        <w:jc w:val="left"/>
      </w:pPr>
      <w:r>
        <w:rPr/>
        <w:t xml:space="preserve">(b) In any civil or administrative action, it is the employer's burden to establish that an adverse job action taken against an employee for having engaged, intervened, or attempted to intervene with a person for the purpose of investigation or questioning as to the ownership of any merchandise was lawful due to one or more of the conditions under subsection (1)(a) through (d) of this section.</w:t>
      </w:r>
    </w:p>
    <w:p>
      <w:pPr>
        <w:spacing w:before="0" w:after="0" w:line="408" w:lineRule="exact"/>
        <w:ind w:left="0" w:right="0" w:firstLine="576"/>
        <w:jc w:val="left"/>
      </w:pPr>
      <w:r>
        <w:rPr/>
        <w:t xml:space="preserve">(c) An employer is not liable for any civil claims or actions under the laws of this state resulting from an act by an employee that is protected by subsections (1) and (2) of this section. However, this subsection (4) does not apply if the protected action by the employee that resulted in the claim or action was at the direction of the employer or an agent of the employer.</w:t>
      </w:r>
    </w:p>
    <w:p>
      <w:pPr>
        <w:spacing w:before="0" w:after="0" w:line="408" w:lineRule="exact"/>
        <w:ind w:left="0" w:right="0" w:firstLine="576"/>
        <w:jc w:val="left"/>
      </w:pPr>
      <w:r>
        <w:rPr/>
        <w:t xml:space="preserve">(5) All retail establishments covered by this section must provide training at the commencement of their employment and at least annually to all employees who regularly have contact with customers regarding both the protections and limitations on protections established by this section and must post an appropriate notice regarding such protections and limitations. An employer may designate through policy certain employees, classes of employees, or both, who are not to engage with customers suspected of theft. The employer must provide training to its employees on the policy regarding who may engage with customers suspected of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5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c60bc9ab48254f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705035913048b3" /><Relationship Type="http://schemas.openxmlformats.org/officeDocument/2006/relationships/footer" Target="/word/footer1.xml" Id="Rc60bc9ab48254f8c" /></Relationships>
</file>