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e70470f6845d4" /></Relationships>
</file>

<file path=word/document.xml><?xml version="1.0" encoding="utf-8"?>
<w:document xmlns:w="http://schemas.openxmlformats.org/wordprocessingml/2006/main">
  <w:body>
    <w:p>
      <w:r>
        <w:t>S-1607.1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Health &amp; Long Term Care (originally sponsored by Senators Kuderer, Short, Cleveland, Conway, Dhingra, Rolfes, Wellman, and C. Wilson)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pharmacy benefit managers' utilizations of nonresident pharmacies; and adding a new section to chapter 48.200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200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pharmacy benefit manager must receive affirmative authorization from a covered person before filling a prescription through a nonresident pharmacy.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covered person chooses to fill a prescription through a nonresident pharmacy, the pharmacy benefit manager shall ensure the covered person has easy and timely access to prescription counseling by a pharmacist and shall have consumer safeguard processes including management of medication distribution and shipping logistics.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a covered person chooses to fill a prescription through a nonresident pharmacy, the pharmacy benefit manager shall allow for dispensing at local network pharmacies under the following circumstances to ensure patient access to prescription drugs: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If the prescription is delayed by more than one day;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If the prescription drug arrives in an unusable condition.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"nonresident pharmacy" has the same meaning as in RCW 18.64.360.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1fa4e787eaf4d3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9527e1d214d9a" /><Relationship Type="http://schemas.openxmlformats.org/officeDocument/2006/relationships/footer" Target="/word/footer1.xml" Id="R71fa4e787eaf4d34" /></Relationships>
</file>