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1d6bae62d34604" /></Relationships>
</file>

<file path=word/document.xml><?xml version="1.0" encoding="utf-8"?>
<w:document xmlns:w="http://schemas.openxmlformats.org/wordprocessingml/2006/main">
  <w:body>
    <w:p>
      <w:r>
        <w:t>S-1452.1</w:t>
      </w:r>
    </w:p>
    <w:p>
      <w:pPr>
        <w:jc w:val="center"/>
      </w:pPr>
      <w:r>
        <w:t>_______________________________________________</w:t>
      </w:r>
    </w:p>
    <w:p/>
    <w:p>
      <w:pPr>
        <w:jc w:val="center"/>
      </w:pPr>
      <w:r>
        <w:rPr>
          <w:b/>
        </w:rPr>
        <w:t>SUBSTITUTE SENATE BILL 5169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Hunt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plans administered by the health care authority that are available to medicare eligible retirees;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health care authority, consistent with the public employees' benefits board resolution 2022-16, will consult with active employees and retirees, by conducting listening sessions and facilitating public forums, to gather feedback about retiree needs. The legislature intends that the results of stakeholder engagements will be used to inform future health care plan selections.</w:t>
      </w:r>
    </w:p>
    <w:p>
      <w:pPr>
        <w:spacing w:before="0" w:after="0" w:line="408" w:lineRule="exact"/>
        <w:ind w:left="0" w:right="0" w:firstLine="576"/>
        <w:jc w:val="left"/>
      </w:pPr>
      <w:r>
        <w:rPr/>
        <w:t xml:space="preserve">(2) By December 1, 2023, the authority must report to the legislature with its findings of the stakeholder engagements in subsection (1) of this section and an analysis of government self-insured plans with benefits that are equal to or richer, and with more affordable premiums, than uniform medical plan classic medicare.</w:t>
      </w:r>
    </w:p>
    <w:p/>
    <w:p>
      <w:pPr>
        <w:jc w:val="center"/>
      </w:pPr>
      <w:r>
        <w:rPr>
          <w:b/>
        </w:rPr>
        <w:t>--- END ---</w:t>
      </w:r>
    </w:p>
    <w:sectPr>
      <w:pgNumType w:start="1"/>
      <w:footerReference xmlns:r="http://schemas.openxmlformats.org/officeDocument/2006/relationships" r:id="Rac49c8fda7f84b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8704fe0d349a4" /><Relationship Type="http://schemas.openxmlformats.org/officeDocument/2006/relationships/footer" Target="/word/footer1.xml" Id="Rac49c8fda7f84b52" /></Relationships>
</file>