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f2589815d41a1" /></Relationships>
</file>

<file path=word/document.xml><?xml version="1.0" encoding="utf-8"?>
<w:document xmlns:w="http://schemas.openxmlformats.org/wordprocessingml/2006/main">
  <w:body>
    <w:p>
      <w:r>
        <w:t>S-0200.3</w:t>
      </w:r>
    </w:p>
    <w:p>
      <w:pPr>
        <w:jc w:val="center"/>
      </w:pPr>
      <w:r>
        <w:t>_______________________________________________</w:t>
      </w:r>
    </w:p>
    <w:p/>
    <w:p>
      <w:pPr>
        <w:jc w:val="center"/>
      </w:pPr>
      <w:r>
        <w:rPr>
          <w:b/>
        </w:rPr>
        <w:t>SENATE BILL 5096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Pedersen, Hasegawa, and Schoesler</w:t>
      </w:r>
    </w:p>
    <w:p/>
    <w:p>
      <w:r>
        <w:rPr>
          <w:t xml:space="preserve">Prefiled 12/23/22.</w:t>
        </w:rPr>
      </w:r>
      <w:r>
        <w:rPr>
          <w:t xml:space="preserve">Read first time 01/09/23.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 and</w:t>
      </w:r>
    </w:p>
    <w:p>
      <w:pPr>
        <w:spacing w:before="0" w:after="0" w:line="408" w:lineRule="exact"/>
        <w:ind w:left="0" w:right="0" w:firstLine="576"/>
        <w:jc w:val="left"/>
      </w:pPr>
      <w:r>
        <w:rPr/>
        <w:t xml:space="preserve">(vii)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7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 an employee cooperative established under chapter 23.78 RCW and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small business utilizing employee ownership structures. The initial term shall be four years;</w:t>
      </w:r>
    </w:p>
    <w:p>
      <w:pPr>
        <w:spacing w:before="0" w:after="0" w:line="408" w:lineRule="exact"/>
        <w:ind w:left="0" w:right="0" w:firstLine="576"/>
        <w:jc w:val="left"/>
      </w:pPr>
      <w:r>
        <w:rPr/>
        <w:t xml:space="preserve">(B) One representative of a large business utilizing employee ownership structures.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amended.</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amended.</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funding, the small business collateral support program administered by the Washington state department of commerce as part of the state small business credit initiative program must include program eligibility for the purchase of an interest in an employee stock ownership plan qualifying under section 401 of the internal revenue code, worker cooperative, or related broad-based employee ownership vehicle, provided that the transaction results in the employee stock ownership plan or other employee-owned entity holding a majority interest, on a fully diluted basis, in the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NumType w:start="1"/>
      <w:footerReference xmlns:r="http://schemas.openxmlformats.org/officeDocument/2006/relationships" r:id="Rc9fc5f490a8048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ff3cf03a5b49a9" /><Relationship Type="http://schemas.openxmlformats.org/officeDocument/2006/relationships/footer" Target="/word/footer1.xml" Id="Rc9fc5f490a804813" /></Relationships>
</file>