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9f2cc20c74dd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Cleveland, Dhingra, Gildon, Hunt, Keiser, Kuderer, Mullet, Nobles, Van De Wege, J. Wilson, and L. Wilson</w:t>
      </w:r>
    </w:p>
    <w:p/>
    <w:p>
      <w:r>
        <w:rPr>
          <w:t xml:space="preserve">Prefiled 12/06/22.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drug testing equipment to promote community safety; and amending RCW 69.50.102 and 69.50.4121.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2022 c 16 s 52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w:t>
      </w:r>
      <w:r>
        <w:t>))</w:t>
      </w:r>
      <w:r>
        <w:rPr/>
        <w:t xml:space="preserve">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w:t>
      </w:r>
      <w:r>
        <w:t>((</w:t>
      </w:r>
      <w:r>
        <w:rPr>
          <w:strike/>
        </w:rPr>
        <w:t xml:space="preserve">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strike/>
        </w:rPr>
        <w:t xml:space="preserve">(5)</w:t>
      </w:r>
      <w:r>
        <w:t>))</w:t>
      </w:r>
      <w:r>
        <w:rPr/>
        <w:t xml:space="preserve"> Scales and balances used, intended for use, or designed for use in weighing or measuring controlled substances;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Separation gins and sifters used, intended for use, or designed for use in removing twigs and seeds from, or in otherwise cleaning or refining, cannabis;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Blenders, bowls, containers, spoons, and mixing devices used, intended for use, or designed for use in compounding controlled substances;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Capsules, balloons, envelopes, and other containers used, intended for use, or designed for use in packaging small quantities of controlled substances;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Containers and other objects used, intended for use, or designed for use in storing or concealing controlled substances;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Hypodermic syringes, needles, and other objects used, intended for use, or designed for use in parenterally injecting controlled substances into the human body;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Objects used, intended for use, or designed for use in ingesting, inhaling, or otherwise introducing cannabis,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cannabis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w:t>
      </w:r>
      <w:r>
        <w:t>))</w:t>
      </w:r>
      <w:r>
        <w:rPr/>
        <w:t xml:space="preserve"> analyzing,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w:t>
      </w:r>
      <w:r>
        <w:t>((</w:t>
      </w:r>
      <w:r>
        <w:rPr>
          <w:strike/>
        </w:rPr>
        <w:t xml:space="preserve">legal distribution</w:t>
      </w:r>
      <w:r>
        <w:t>))</w:t>
      </w:r>
      <w:r>
        <w:rPr/>
        <w:t xml:space="preserve"> </w:t>
      </w:r>
      <w:r>
        <w:rPr>
          <w:u w:val="single"/>
        </w:rPr>
        <w:t xml:space="preserve">selling or giving</w:t>
      </w:r>
      <w:r>
        <w:rPr/>
        <w:t xml:space="preserve"> of injection syringe </w:t>
      </w:r>
      <w:r>
        <w:rPr>
          <w:u w:val="single"/>
        </w:rPr>
        <w:t xml:space="preserve">or testing</w:t>
      </w:r>
      <w:r>
        <w:rPr/>
        <w:t xml:space="preserve"> equipment through public health and community</w:t>
      </w:r>
      <w:r>
        <w:rPr>
          <w:u w:val="single"/>
        </w:rPr>
        <w:t xml:space="preserve">-</w:t>
      </w:r>
      <w:r>
        <w:rPr/>
        <w:t xml:space="preserve">based HIV prevention programs, and pharmacies.</w:t>
      </w:r>
    </w:p>
    <w:p/>
    <w:p>
      <w:pPr>
        <w:jc w:val="center"/>
      </w:pPr>
      <w:r>
        <w:rPr>
          <w:b/>
        </w:rPr>
        <w:t>--- END ---</w:t>
      </w:r>
    </w:p>
    <w:sectPr>
      <w:pgNumType w:start="1"/>
      <w:footerReference xmlns:r="http://schemas.openxmlformats.org/officeDocument/2006/relationships" r:id="R1506530f213347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aaa73f97964539" /><Relationship Type="http://schemas.openxmlformats.org/officeDocument/2006/relationships/footer" Target="/word/footer1.xml" Id="R1506530f21334724" /></Relationships>
</file>