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7e41b6251f433b" /></Relationships>
</file>

<file path=word/document.xml><?xml version="1.0" encoding="utf-8"?>
<w:document xmlns:w="http://schemas.openxmlformats.org/wordprocessingml/2006/main">
  <w:body>
    <w:p>
      <w:r>
        <w:t>S-4500.1</w:t>
      </w:r>
    </w:p>
    <w:p>
      <w:pPr>
        <w:jc w:val="center"/>
      </w:pPr>
      <w:r>
        <w:t>_______________________________________________</w:t>
      </w:r>
    </w:p>
    <w:p/>
    <w:p>
      <w:pPr>
        <w:jc w:val="center"/>
      </w:pPr>
      <w:r>
        <w:rPr>
          <w:b/>
        </w:rPr>
        <w:t>SUBSTITUTE SENATE BILL 5013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Warnick, Keiser, Dhingra, Kuderer, and Torres)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exemption for the first 20,000 gallons of wine sold by a winery in Washington; amending RCW 66.24.210;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2023 c 470 s 1012 are each amended to read as follows:</w:t>
      </w:r>
    </w:p>
    <w:p>
      <w:pPr>
        <w:spacing w:before="0" w:after="0" w:line="408" w:lineRule="exact"/>
        <w:ind w:left="0" w:right="0" w:firstLine="576"/>
        <w:jc w:val="left"/>
      </w:pPr>
      <w:r>
        <w:rPr/>
        <w:t xml:space="preserve">(1) </w:t>
      </w:r>
      <w:r>
        <w:t>((</w:t>
      </w:r>
      <w:r>
        <w:rPr>
          <w:strike/>
        </w:rPr>
        <w:t xml:space="preserve">There</w:t>
      </w:r>
      <w:r>
        <w:t>))</w:t>
      </w:r>
      <w:r>
        <w:rPr/>
        <w:t xml:space="preserve"> </w:t>
      </w:r>
      <w:r>
        <w:rPr>
          <w:u w:val="single"/>
        </w:rPr>
        <w:t xml:space="preserve">Except as provided in (d) of this subsection, there</w:t>
      </w:r>
      <w:r>
        <w:rPr/>
        <w:t xml:space="preserve"> is hereby imposed upon all wines except cider sold to wine distributors within the state a tax at the rate of twenty and one-fourth cents per liter. Any domestic winery or certificate of approval holder acting as a distributor of its own production must pay taxes imposed by this section. </w:t>
      </w:r>
      <w:r>
        <w:t>((</w:t>
      </w:r>
      <w:r>
        <w:rPr>
          <w:strike/>
        </w:rPr>
        <w:t xml:space="preserve">There</w:t>
      </w:r>
      <w:r>
        <w:t>))</w:t>
      </w:r>
      <w:r>
        <w:rPr/>
        <w:t xml:space="preserve"> </w:t>
      </w:r>
      <w:r>
        <w:rPr>
          <w:u w:val="single"/>
        </w:rPr>
        <w:t xml:space="preserve">Except as provided in (d) of this subsection, there</w:t>
      </w:r>
      <w:r>
        <w:rPr/>
        <w:t xml:space="preserve"> is hereby imposed on all cider sold to wine distributors within the state a tax at the rate of three and fifty-nine one-hundredths cents per liter. However, wine sold or shipped in bulk from one winery to another winery is not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must on or before the twentieth day of each month report to the board all purchases during the preceding calendar month in such manner and upon such forms as may be prescribed by the board, and with such report must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must make monthly reports to the </w:t>
      </w:r>
      <w:r>
        <w:t>((</w:t>
      </w:r>
      <w:r>
        <w:rPr>
          <w:strike/>
        </w:rPr>
        <w:t xml:space="preserve">liquor and cannabis</w:t>
      </w:r>
      <w:r>
        <w:t>))</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u w:val="single"/>
        </w:rPr>
        <w:t xml:space="preserve">(d) Until January 1, 2035, a winery's sale of the first 20,000 gallons of table wine or cider in a calendar year is:</w:t>
      </w:r>
    </w:p>
    <w:p>
      <w:pPr>
        <w:spacing w:before="0" w:after="0" w:line="408" w:lineRule="exact"/>
        <w:ind w:left="0" w:right="0" w:firstLine="576"/>
        <w:jc w:val="left"/>
      </w:pPr>
      <w:r>
        <w:rPr>
          <w:u w:val="single"/>
        </w:rPr>
        <w:t xml:space="preserve">(i) Subject to tax at a rate of $0.0528 per liter for table wine or cider; and</w:t>
      </w:r>
    </w:p>
    <w:p>
      <w:pPr>
        <w:spacing w:before="0" w:after="0" w:line="408" w:lineRule="exact"/>
        <w:ind w:left="0" w:right="0" w:firstLine="576"/>
        <w:jc w:val="left"/>
      </w:pPr>
      <w:r>
        <w:rPr>
          <w:u w:val="single"/>
        </w:rPr>
        <w:t xml:space="preserve">(ii) Not subject to any other taxes under this section on sales of the first 20,000 gallons of table wine or cider except for taxes imposed under subsection (3) of this section for the Washington wine commission.</w:t>
      </w:r>
    </w:p>
    <w:p>
      <w:pPr>
        <w:spacing w:before="0" w:after="0" w:line="408" w:lineRule="exact"/>
        <w:ind w:left="0" w:right="0" w:firstLine="576"/>
        <w:jc w:val="left"/>
      </w:pPr>
      <w:r>
        <w:rPr>
          <w:u w:val="single"/>
        </w:rPr>
        <w:t xml:space="preserve">(e) Taxes collected pursuant to (d) of this subsection (1) must be deposited in the liquor revolving fund and are subject to the allocation to Washington State University in RCW 66.08.180(4). </w:t>
      </w:r>
    </w:p>
    <w:p>
      <w:pPr>
        <w:spacing w:before="0" w:after="0" w:line="408" w:lineRule="exact"/>
        <w:ind w:left="0" w:right="0" w:firstLine="576"/>
        <w:jc w:val="left"/>
      </w:pPr>
      <w:r>
        <w:rPr/>
        <w:t xml:space="preserve">(2) </w:t>
      </w:r>
      <w:r>
        <w:t>((</w:t>
      </w:r>
      <w:r>
        <w:rPr>
          <w:strike/>
        </w:rPr>
        <w:t xml:space="preserve">An</w:t>
      </w:r>
      <w:r>
        <w:t>))</w:t>
      </w:r>
      <w:r>
        <w:rPr/>
        <w:t xml:space="preserve"> </w:t>
      </w:r>
      <w:r>
        <w:rPr>
          <w:u w:val="single"/>
        </w:rPr>
        <w:t xml:space="preserve">Except as provided in subsection (1)(d) of this section, an</w:t>
      </w:r>
      <w:r>
        <w:rPr/>
        <w:t xml:space="preserve"> additional tax is imposed equal to the rate specified in RCW 82.02.030 multiplied by the tax payable under subsection (1) of this section. All revenues collected during any month from this additional tax must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w:t>
      </w:r>
      <w:r>
        <w:t>((</w:t>
      </w:r>
      <w:r>
        <w:rPr>
          <w:strike/>
        </w:rPr>
        <w:t xml:space="preserve">An</w:t>
      </w:r>
      <w:r>
        <w:t>))</w:t>
      </w:r>
      <w:r>
        <w:rPr/>
        <w:t xml:space="preserve"> </w:t>
      </w:r>
      <w:r>
        <w:rPr>
          <w:u w:val="single"/>
        </w:rPr>
        <w:t xml:space="preserve">Except as provided in subsection (1)(d) of this section, an</w:t>
      </w:r>
      <w:r>
        <w:rPr/>
        <w:t xml:space="preserve">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w:t>
      </w:r>
      <w:r>
        <w:t>((</w:t>
      </w:r>
      <w:r>
        <w:rPr>
          <w:strike/>
        </w:rPr>
        <w:t xml:space="preserve">An</w:t>
      </w:r>
      <w:r>
        <w:t>))</w:t>
      </w:r>
      <w:r>
        <w:rPr/>
        <w:t xml:space="preserve"> </w:t>
      </w:r>
      <w:r>
        <w:rPr>
          <w:u w:val="single"/>
        </w:rPr>
        <w:t xml:space="preserve">Except as provided in subsection (1)(d) of this section, an</w:t>
      </w:r>
      <w:r>
        <w:rPr/>
        <w:t xml:space="preserve">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must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eight and one-half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must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2024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create or retain jobs, as indicated in RCW 82.32.808(2)(c).</w:t>
      </w:r>
    </w:p>
    <w:p>
      <w:pPr>
        <w:spacing w:before="0" w:after="0" w:line="408" w:lineRule="exact"/>
        <w:ind w:left="0" w:right="0" w:firstLine="576"/>
        <w:jc w:val="left"/>
      </w:pPr>
      <w:r>
        <w:rPr/>
        <w:t xml:space="preserve">(3) It is the legislature's specific public policy objective to create and retain jobs in the wine industry, especially small wineries. Small wineries have faced significant recent and ongoing challenges, including the great recession, COVID-19 pandemic, and climate change impacts, such as increased wildfire smoke and extreme weather events.</w:t>
      </w:r>
    </w:p>
    <w:p>
      <w:pPr>
        <w:spacing w:before="0" w:after="0" w:line="408" w:lineRule="exact"/>
        <w:ind w:left="0" w:right="0" w:firstLine="576"/>
        <w:jc w:val="left"/>
      </w:pPr>
      <w:r>
        <w:rPr/>
        <w:t xml:space="preserve">(4) The joint legislative audit and review committee must conduct an initial evaluation of the tax preference in section 1 of this act by January 1, 2029. A final evaluation of the tax preference must be conducted by January 1, 2034.</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 including the Washington wine commission.</w:t>
      </w:r>
    </w:p>
    <w:p/>
    <w:p>
      <w:pPr>
        <w:jc w:val="center"/>
      </w:pPr>
      <w:r>
        <w:rPr>
          <w:b/>
        </w:rPr>
        <w:t>--- END ---</w:t>
      </w:r>
    </w:p>
    <w:sectPr>
      <w:pgNumType w:start="1"/>
      <w:footerReference xmlns:r="http://schemas.openxmlformats.org/officeDocument/2006/relationships" r:id="Rf922f9936fc145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c5984173d8494d" /><Relationship Type="http://schemas.openxmlformats.org/officeDocument/2006/relationships/footer" Target="/word/footer1.xml" Id="Rf922f9936fc14555" /></Relationships>
</file>