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5c1708e8a4b08" /></Relationships>
</file>

<file path=word/document.xml><?xml version="1.0" encoding="utf-8"?>
<w:document xmlns:w="http://schemas.openxmlformats.org/wordprocessingml/2006/main">
  <w:body>
    <w:p>
      <w:r>
        <w:t>S-0068.2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5010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L. Wilson, Holy, J. Wilson, Braun, Schoesler, King, Short, Fortunato, Padden, Torres, Dozier, Gildon, Rolfes, Wagoner, and Warnick</w:t>
      </w:r>
    </w:p>
    <w:p/>
    <w:p>
      <w:r>
        <w:rPr>
          <w:t xml:space="preserve">Prefiled 12/05/22.</w:t>
        </w:rPr>
      </w:r>
      <w:r>
        <w:rPr>
          <w:t xml:space="preserve">Read first time 01/09/23.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updating the endangerment with a controlled substance statute to include fentanyl or synthetic opioids; and amending RCW 9A.42.100.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42</w:t>
      </w:r>
      <w:r>
        <w:rPr/>
        <w:t xml:space="preserve">.</w:t>
      </w:r>
      <w:r>
        <w:t xml:space="preserve">100</w:t>
      </w:r>
      <w:r>
        <w:rPr/>
        <w:t xml:space="preserve"> and 2005 c 218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A person is guilty of the crime of endangerment with a controlled substance if the person knowingly or intentionally permits a dependent child or dependent adult to be exposed to, ingest, inhale, or have contact with </w:t>
      </w:r>
      <w:r>
        <w:t>((</w:t>
      </w:r>
      <w:r>
        <w:rPr>
          <w:strike/>
        </w:rPr>
        <w:t xml:space="preserve">methamphetamine</w:t>
      </w:r>
      <w:r>
        <w:t>))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Fentanyl or synthetic opioids, or the smoke of a substance that the person knows, or reasonably should know, contains, or is contaminated with, fentanyl or synthetic opioids;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Methamphetamine</w:t>
      </w:r>
      <w:r>
        <w:rPr/>
        <w:t xml:space="preserve"> or ephedrine, pseudoephedrine, or anhydrous ammonia, including their salts, isomers, and salts of isomers, that are being used in the manufacture of methamphetamine, including its salts, isomers, and salts of isomers.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</w:t>
      </w:r>
      <w:r>
        <w:rPr/>
        <w:t xml:space="preserve"> Endangerment with a controlled substance is a class B felony.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1bb6b9a77cc405a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5010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67ede01b14d6b" /><Relationship Type="http://schemas.openxmlformats.org/officeDocument/2006/relationships/footer" Target="/word/footer1.xml" Id="Re1bb6b9a77cc405a" /></Relationships>
</file>