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6cf71ac98e4d30" /></Relationships>
</file>

<file path=word/document.xml><?xml version="1.0" encoding="utf-8"?>
<w:document xmlns:w="http://schemas.openxmlformats.org/wordprocessingml/2006/main">
  <w:body>
    <w:p>
      <w:r>
        <w:t>S-0790.1</w:t>
      </w:r>
    </w:p>
    <w:p>
      <w:pPr>
        <w:jc w:val="center"/>
      </w:pPr>
      <w:r>
        <w:t>_______________________________________________</w:t>
      </w:r>
    </w:p>
    <w:p/>
    <w:p>
      <w:pPr>
        <w:jc w:val="center"/>
      </w:pPr>
      <w:r>
        <w:rPr>
          <w:b/>
        </w:rPr>
        <w:t>SUBSTITUTE SENATE BILL 5006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Rivers, Dhingra, Frame, Hasegawa, Hunt, Kuderer, Mullet, Nobles, Stanford, and Valdez)</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waiver of firearm rights; amending RCW 9.41.040, 9.41.350, and 9.41.352; reenacting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w:t>
      </w:r>
      <w:r>
        <w:rPr>
          <w:u w:val="single"/>
        </w:rPr>
        <w:t xml:space="preserve">"Mental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u w:val="single"/>
        </w:rPr>
        <w:t xml:space="preserve">(30)</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(41) "Substance use disorder professional" means a person certified under chapter 18.205 RCW.</w:t>
      </w:r>
    </w:p>
    <w:p>
      <w:pPr>
        <w:spacing w:before="0" w:after="0" w:line="408" w:lineRule="exact"/>
        <w:ind w:left="0" w:right="0" w:firstLine="576"/>
        <w:jc w:val="left"/>
      </w:pPr>
      <w:r>
        <w:rPr>
          <w:u w:val="single"/>
        </w:rPr>
        <w:t xml:space="preserve">(42)</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t xml:space="preserve">(iv)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or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(vi)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(vii) If the person is under 18 years of age, except as provided in RCW 9.41.042; and/or</w:t>
      </w:r>
    </w:p>
    <w:p>
      <w:pPr>
        <w:spacing w:before="0" w:after="0" w:line="408" w:lineRule="exact"/>
        <w:ind w:left="0" w:right="0" w:firstLine="576"/>
        <w:jc w:val="left"/>
      </w:pPr>
      <w:r>
        <w:rPr/>
        <w:t xml:space="preserve">(viii)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w:t>
      </w:r>
      <w:r>
        <w:rPr>
          <w:u w:val="single"/>
        </w:rPr>
        <w:t xml:space="preserve">(a)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u w:val="single"/>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u w:val="single"/>
        </w:rPr>
        <w:t xml:space="preserve">(c) Each firearm unlawfully possessed under this subsection (7) shall be a separate infraction.</w:t>
      </w:r>
    </w:p>
    <w:p>
      <w:pPr>
        <w:spacing w:before="0" w:after="0" w:line="408" w:lineRule="exact"/>
        <w:ind w:left="0" w:right="0" w:firstLine="576"/>
        <w:jc w:val="left"/>
      </w:pPr>
      <w:r>
        <w:rPr>
          <w:u w:val="single"/>
        </w:rPr>
        <w:t xml:space="preserve">(8)</w:t>
      </w:r>
      <w:r>
        <w:rPr/>
        <w:t xml:space="preserve">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2018 c 145 s 1 are each amended to read as follows:</w:t>
      </w:r>
    </w:p>
    <w:p>
      <w:pPr>
        <w:spacing w:before="0" w:after="0" w:line="408" w:lineRule="exact"/>
        <w:ind w:left="0" w:right="0" w:firstLine="576"/>
        <w:jc w:val="left"/>
      </w:pPr>
      <w:r>
        <w:rPr/>
        <w:t xml:space="preserve">(1) A person may file a voluntary waiver of firearm rights</w:t>
      </w:r>
      <w:r>
        <w:rPr>
          <w:u w:val="single"/>
        </w:rPr>
        <w:t xml:space="preserve">, either in writing or electronically,</w:t>
      </w:r>
      <w:r>
        <w:rPr/>
        <w:t xml:space="preserve"> with the clerk of the court in any county in Washington state. The clerk of the court must request </w:t>
      </w:r>
      <w:r>
        <w:rPr>
          <w:u w:val="single"/>
        </w:rPr>
        <w:t xml:space="preserve">a physical or scanned copy of</w:t>
      </w:r>
      <w:r>
        <w:rPr/>
        <w:t xml:space="preserve"> photo identification to verify the person's identity prior to accepting the form. The person filing the form may provide </w:t>
      </w:r>
      <w:r>
        <w:t>((</w:t>
      </w:r>
      <w:r>
        <w:rPr>
          <w:strike/>
        </w:rPr>
        <w:t xml:space="preserve">an alternate person to be contacted if a voluntary waiver of firearm rights is</w:t>
      </w:r>
      <w:r>
        <w:t>))</w:t>
      </w:r>
      <w:r>
        <w:rPr/>
        <w:t xml:space="preserve"> </w:t>
      </w:r>
      <w:r>
        <w:rPr>
          <w:u w:val="single"/>
        </w:rPr>
        <w:t xml:space="preserve">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w:t>
      </w:r>
      <w:r>
        <w:rPr/>
        <w:t xml:space="preserve"> revoked. </w:t>
      </w:r>
      <w:r>
        <w:rPr>
          <w:u w:val="single"/>
        </w:rPr>
        <w:t xml:space="preserve">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w:t>
      </w:r>
      <w:r>
        <w:rPr/>
        <w:t xml:space="preserve"> By the end of the business day, the clerk of the court must transmit the accepted form to the Washington state patrol. The Washington state patrol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w:t>
      </w:r>
      <w:r>
        <w:rPr>
          <w:u w:val="single"/>
        </w:rPr>
        <w:t xml:space="preserve">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u w:val="single"/>
        </w:rPr>
        <w:t xml:space="preserve">(3)</w:t>
      </w:r>
      <w:r>
        <w:rPr/>
        <w:t xml:space="preserve"> No sooner than seven calendar days after filing a voluntary waiver of firearm rights, the person may file a revocation of the voluntary waiver of firearm rights</w:t>
      </w:r>
      <w:r>
        <w:rPr>
          <w:u w:val="single"/>
        </w:rPr>
        <w:t xml:space="preserve">, either in writing or electronically,</w:t>
      </w:r>
      <w:r>
        <w:rPr/>
        <w:t xml:space="preserve"> in the same county where the voluntary waiver of firearm rights was filed. The clerk of the court must request </w:t>
      </w:r>
      <w:r>
        <w:rPr>
          <w:u w:val="single"/>
        </w:rPr>
        <w:t xml:space="preserve">a physical or scanned copy of</w:t>
      </w:r>
      <w:r>
        <w:rPr/>
        <w:t xml:space="preserve"> photo identification to verify the person's identity prior to accepting the form. By the end of the business day, the clerk of the court must transmit the form to the Washington state patrol and to any </w:t>
      </w:r>
      <w:r>
        <w:t>((</w:t>
      </w:r>
      <w:r>
        <w:rPr>
          <w:strike/>
        </w:rPr>
        <w:t xml:space="preserve">contact</w:t>
      </w:r>
      <w:r>
        <w:t>))</w:t>
      </w:r>
      <w:r>
        <w:rPr/>
        <w:t xml:space="preserve"> </w:t>
      </w:r>
      <w:r>
        <w:rPr>
          <w:u w:val="single"/>
        </w:rPr>
        <w:t xml:space="preserve">family member, mental health professional, substance use disorder professional, or alternate</w:t>
      </w:r>
      <w:r>
        <w:rPr/>
        <w:t xml:space="preserve"> person listed on the voluntary waiver of firearm rights </w:t>
      </w:r>
      <w:r>
        <w:t>((</w:t>
      </w:r>
      <w:r>
        <w:rPr>
          <w:strike/>
        </w:rPr>
        <w:t xml:space="preserve">and destroy all records of the voluntary waiver</w:t>
      </w:r>
      <w:r>
        <w:t>))</w:t>
      </w:r>
      <w:r>
        <w:rPr/>
        <w:t xml:space="preserve">. Within seven days of receiving a revocation of a voluntary waiver of firearm rights, the Washington state patrol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voluntary waiver of firearm rights may not be required of an individual as a condition for receiving employment, benefits, 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352</w:t>
      </w:r>
      <w:r>
        <w:rPr/>
        <w:t xml:space="preserve"> and 2018 c 145 s 2 are each amended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2019.</w:t>
      </w:r>
    </w:p>
    <w:p>
      <w:pPr>
        <w:spacing w:before="0" w:after="0" w:line="408" w:lineRule="exact"/>
        <w:ind w:left="0" w:right="0" w:firstLine="576"/>
        <w:jc w:val="left"/>
      </w:pPr>
      <w:r>
        <w:rPr/>
        <w:t xml:space="preserve">(2) The forms must include all of the information necessary for identification and entry of the person into the national instant criminal background check system, and any other federal or state computer-based systems used by law enforcement agencies or others to identify prohibited purchasers of firearms.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w:t>
      </w:r>
      <w:r>
        <w:t>((</w:t>
      </w:r>
      <w:r>
        <w:rPr>
          <w:strike/>
        </w:rPr>
        <w:t xml:space="preserve">or</w:t>
      </w:r>
      <w:r>
        <w:t>))</w:t>
      </w:r>
      <w:r>
        <w:rPr>
          <w:u w:val="single"/>
        </w:rPr>
        <w:t xml:space="preserve">,</w:t>
      </w:r>
      <w:r>
        <w:rPr/>
        <w:t xml:space="preserve"> receive</w:t>
      </w:r>
      <w:r>
        <w:rPr>
          <w:u w:val="single"/>
        </w:rPr>
        <w:t xml:space="preserve">, control, or possess</w:t>
      </w:r>
      <w:r>
        <w:rPr/>
        <w:t xml:space="preser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website, at all county clerk offices, and must also be made widely available at firearm and ammunition dealers and health care provider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Mental health professionals and substance use disorder professionals are encouraged to discuss the voluntary waiver of firearm rights with their patients if the mental health professional or substance use disorder professional reasonably believes that a discussion will avoid or minimize an imminent danger to the health or safety of the individual or any other individual; however, there is no obligation to do so.</w:t>
      </w:r>
    </w:p>
    <w:p/>
    <w:p>
      <w:pPr>
        <w:jc w:val="center"/>
      </w:pPr>
      <w:r>
        <w:rPr>
          <w:b/>
        </w:rPr>
        <w:t>--- END ---</w:t>
      </w:r>
    </w:p>
    <w:sectPr>
      <w:pgNumType w:start="1"/>
      <w:footerReference xmlns:r="http://schemas.openxmlformats.org/officeDocument/2006/relationships" r:id="R1c97fd4b210349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7fc09d1145480b" /><Relationship Type="http://schemas.openxmlformats.org/officeDocument/2006/relationships/footer" Target="/word/footer1.xml" Id="R1c97fd4b21034939" /></Relationships>
</file>